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31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МИНИСТЕРСТВО ЗДРАВООХРАНЕНИЯ РОССИЙСКОЙ ФЕДЕРАЦИИ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ФЕДЕРАЛЬНОЕ ГОСУДАРСТВЕННОЕ БЮДЖЕТНОЕ </w:t>
      </w: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ОБРАЗОВАТЕЛЬНОЕ УЧРЕЖДЕНИЕ ВЫСШЕГО ОБРАЗОВАНИЯ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НАЦИОНАЛЬНЫЙ ИССЛЕДОВАТЕЛЬСКИЙ МЕДИЦИНСКИЙ УНИВЕРСИТЕТ ИМЕНИ Н.И. ПИРОГОВА»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МИНИСТЕРСТВА ЗДРАВООХРАНЕНИЯ РОССИЙСКОЙ ФЕДЕРАЦИИ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ОБОСОБЛЕННОЕ СТРУКТУРНОЕ ПОДРАЗДЕЛЕНИЕ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ГЕРОНТОЛОГИЧЕСКИЙ НАУЧНО-КЛИНИЧЕСКИЙ ЦЕНТР»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sz w:val="28"/>
          <w:szCs w:val="28"/>
          <w:lang w:eastAsia="ru-RU"/>
        </w:rPr>
        <w:t>РОССИЙСКАЯ АССОЦИАЦИЯ ГЕРОНТОЛОГОВ И ГЕРИАТРОВ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33D7A" w:rsidRPr="00333D7A" w:rsidRDefault="00333D7A" w:rsidP="00333D7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eastAsia="en-US"/>
        </w:rPr>
      </w:pPr>
      <w:r w:rsidRPr="00333D7A">
        <w:rPr>
          <w:rFonts w:ascii="Times New Roman" w:hAnsi="Times New Roman"/>
          <w:b/>
          <w:sz w:val="36"/>
          <w:szCs w:val="28"/>
          <w:lang w:eastAsia="en-US"/>
        </w:rPr>
        <w:t>ПРОФИЛАКТИКА ПРЕЖДЕВРЕМЕННОГО СТАРЕНИЯ У ЖЕНЩИН</w:t>
      </w:r>
    </w:p>
    <w:p w:rsidR="000F3231" w:rsidRPr="00B35E2B" w:rsidRDefault="000F3231" w:rsidP="001C01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E6148" w:rsidRPr="00333D7A" w:rsidRDefault="008E6148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33D7A">
        <w:rPr>
          <w:rFonts w:ascii="Times New Roman" w:hAnsi="Times New Roman"/>
          <w:sz w:val="28"/>
          <w:szCs w:val="28"/>
          <w:lang w:eastAsia="en-US"/>
        </w:rPr>
        <w:t>МЕТОДИЧЕСКИЕ РЕКОМЕНДАЦИИ</w:t>
      </w:r>
    </w:p>
    <w:p w:rsidR="000F3231" w:rsidRPr="00333D7A" w:rsidRDefault="000F3231" w:rsidP="00485877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35E2B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Ткачева, Ю.Э.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Е.Н.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Дудинская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 w:rsidRPr="00B35E2B">
        <w:rPr>
          <w:rFonts w:ascii="Times New Roman" w:hAnsi="Times New Roman"/>
          <w:sz w:val="28"/>
          <w:szCs w:val="28"/>
          <w:lang w:eastAsia="en-US"/>
        </w:rPr>
        <w:t>Ю.В.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Котовская, Н.К.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А.З.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35E2B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B35E2B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333D7A" w:rsidRDefault="000F3231" w:rsidP="00E37BDE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333D7A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Москва</w:t>
      </w:r>
      <w:r w:rsidR="00B42C2D">
        <w:rPr>
          <w:rFonts w:ascii="Times New Roman" w:hAnsi="Times New Roman"/>
          <w:sz w:val="28"/>
          <w:szCs w:val="28"/>
          <w:lang w:eastAsia="en-US"/>
        </w:rPr>
        <w:t xml:space="preserve"> 2018</w:t>
      </w:r>
    </w:p>
    <w:p w:rsidR="008E6148" w:rsidRPr="00B35E2B" w:rsidRDefault="008E6148" w:rsidP="00333D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Коллектив авторов: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д.м.н.,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О.Н.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Ткачева, 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д.м.н., профессор            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Ю.Э.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="004F41F0">
        <w:rPr>
          <w:rFonts w:ascii="Times New Roman" w:hAnsi="Times New Roman"/>
          <w:sz w:val="28"/>
          <w:szCs w:val="28"/>
          <w:lang w:eastAsia="en-US"/>
        </w:rPr>
        <w:t>, к.м.н.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Дудинская Е.Н., д.м.н., профессор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Ю.В.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Котовская, </w:t>
      </w:r>
      <w:r w:rsidR="004F41F0">
        <w:rPr>
          <w:rFonts w:ascii="Times New Roman" w:hAnsi="Times New Roman"/>
          <w:sz w:val="28"/>
          <w:szCs w:val="28"/>
          <w:lang w:eastAsia="en-US"/>
        </w:rPr>
        <w:t>д.м.н.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Н.К.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д.м.н.</w:t>
      </w:r>
      <w:r w:rsidR="000A417A">
        <w:rPr>
          <w:rFonts w:ascii="Times New Roman" w:hAnsi="Times New Roman"/>
          <w:sz w:val="28"/>
          <w:szCs w:val="28"/>
          <w:lang w:eastAsia="en-US"/>
        </w:rPr>
        <w:t>,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А.З.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333D7A">
        <w:rPr>
          <w:rFonts w:ascii="Times New Roman" w:hAnsi="Times New Roman"/>
          <w:sz w:val="28"/>
          <w:szCs w:val="28"/>
          <w:lang w:eastAsia="en-US"/>
        </w:rPr>
        <w:t>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Методические рекомендации содержат материалы по основам профилактики преждевременного старения у женщин в периоды пред-, пери- и постменопаузы. Рассмотрены практические аспекты ведения пациенток с менопаузальным синдромом, его осложнениями, остеопорозом, недержанием мочи, депрессией. Приведены рекомендации по медикаментозной и немедикаментозной терапии менопаузального синдрома с учетом вопроса профилактики преждевременного старения. </w:t>
      </w: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Методические рекомендации предназначены для врачей общей практики, терапевтов, гериатров, семейный врачей, гинекологов, эндокринологов.</w:t>
      </w: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85877" w:rsidRDefault="00485877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85877" w:rsidRPr="00333D7A" w:rsidRDefault="00485877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37BDE" w:rsidRDefault="00E37BDE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F41F0" w:rsidRDefault="004F41F0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E3D86" w:rsidRPr="00333D7A" w:rsidRDefault="000E3D86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4F41F0" w:rsidRPr="004F41F0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7891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  <w:gridCol w:w="531"/>
      </w:tblGrid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7891">
              <w:rPr>
                <w:rFonts w:ascii="Times New Roman" w:hAnsi="Times New Roman"/>
                <w:sz w:val="28"/>
                <w:szCs w:val="28"/>
                <w:lang w:eastAsia="en-US"/>
              </w:rPr>
              <w:t>Список сокращений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  <w:rPr>
                <w:sz w:val="28"/>
              </w:rPr>
            </w:pPr>
            <w:r w:rsidRPr="004F41F0">
              <w:rPr>
                <w:sz w:val="28"/>
              </w:rPr>
              <w:t>Синдром преждевременного старения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</w:pPr>
            <w:r w:rsidRPr="004F41F0">
              <w:rPr>
                <w:sz w:val="28"/>
              </w:rPr>
              <w:t>Диагностика менопаузального статуса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F41F0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назначения меноп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аузальной гормональной терапии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жизни и альтернативная терапия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91">
              <w:rPr>
                <w:rFonts w:ascii="Times New Roman" w:hAnsi="Times New Roman"/>
                <w:sz w:val="28"/>
                <w:szCs w:val="28"/>
              </w:rPr>
              <w:t xml:space="preserve">Сердечно-сосудистые заболевания </w:t>
            </w:r>
            <w:r>
              <w:rPr>
                <w:rFonts w:ascii="Times New Roman" w:hAnsi="Times New Roman"/>
                <w:sz w:val="28"/>
                <w:szCs w:val="28"/>
              </w:rPr>
              <w:t>у женщин в пре- и постменопаузе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91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теопороз у женщин старше 40 лет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Генитоуринарный</w:t>
            </w:r>
            <w:proofErr w:type="spellEnd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синдром в менопаузе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Сексуальная дисфункция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3E7891" w:rsidRPr="003E7891" w:rsidRDefault="003E7891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891" w:rsidRPr="00B35E2B" w:rsidRDefault="003E7891" w:rsidP="003E7891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Pr="00DF41E3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41E3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СОКРАЩЕНИЙ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Ca</w:t>
      </w:r>
      <w:r w:rsidRPr="00B35E2B">
        <w:rPr>
          <w:rFonts w:ascii="Times New Roman" w:hAnsi="Times New Roman"/>
          <w:sz w:val="28"/>
          <w:szCs w:val="28"/>
          <w:vertAlign w:val="superscript"/>
        </w:rPr>
        <w:t>++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кальций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F0B">
        <w:rPr>
          <w:rFonts w:ascii="Times New Roman" w:hAnsi="Times New Roman"/>
          <w:sz w:val="28"/>
          <w:szCs w:val="28"/>
        </w:rPr>
        <w:t>ионизированный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K</w:t>
      </w:r>
      <w:r w:rsidRPr="00544F0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калий</w:t>
      </w:r>
    </w:p>
    <w:p w:rsidR="00544F0B" w:rsidRPr="00433290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B35E2B">
        <w:rPr>
          <w:rFonts w:ascii="Times New Roman" w:hAnsi="Times New Roman"/>
          <w:sz w:val="28"/>
          <w:szCs w:val="28"/>
          <w:lang w:val="en-US"/>
        </w:rPr>
        <w:t>g</w:t>
      </w:r>
      <w:r w:rsidRPr="00433290">
        <w:rPr>
          <w:rFonts w:ascii="Times New Roman" w:hAnsi="Times New Roman"/>
          <w:sz w:val="28"/>
          <w:szCs w:val="28"/>
          <w:vertAlign w:val="superscript"/>
        </w:rPr>
        <w:t>++</w:t>
      </w:r>
      <w:r w:rsidRPr="00433290">
        <w:rPr>
          <w:rFonts w:ascii="Times New Roman" w:hAnsi="Times New Roman"/>
          <w:sz w:val="28"/>
          <w:szCs w:val="28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магний</w:t>
      </w:r>
      <w:r w:rsidRPr="00433290">
        <w:rPr>
          <w:rFonts w:ascii="Times New Roman" w:hAnsi="Times New Roman"/>
          <w:sz w:val="28"/>
          <w:szCs w:val="28"/>
        </w:rPr>
        <w:t xml:space="preserve"> 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Na</w:t>
      </w:r>
      <w:r w:rsidRPr="00544F0B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544F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натрий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STRAW – Stages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Reproductive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Aging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Workshop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 – артериальное давление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АМГ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ан</w:t>
      </w:r>
      <w:r w:rsidRPr="002B66E9">
        <w:rPr>
          <w:rFonts w:ascii="Times New Roman" w:hAnsi="Times New Roman"/>
          <w:sz w:val="28"/>
          <w:szCs w:val="28"/>
          <w:lang w:eastAsia="en-US"/>
        </w:rPr>
        <w:t>тимюллер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4F0B">
        <w:rPr>
          <w:rFonts w:ascii="Times New Roman" w:hAnsi="Times New Roman"/>
          <w:sz w:val="28"/>
          <w:szCs w:val="28"/>
          <w:lang w:eastAsia="en-US"/>
        </w:rPr>
        <w:t>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атрофи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ВТЭ</w:t>
      </w:r>
      <w:r>
        <w:rPr>
          <w:rFonts w:ascii="Times New Roman" w:hAnsi="Times New Roman"/>
          <w:sz w:val="28"/>
          <w:szCs w:val="28"/>
          <w:lang w:eastAsia="en-US"/>
        </w:rPr>
        <w:t xml:space="preserve"> – венозная т</w:t>
      </w:r>
      <w:r w:rsidRPr="00B35E2B">
        <w:rPr>
          <w:rFonts w:ascii="Times New Roman" w:hAnsi="Times New Roman"/>
          <w:sz w:val="28"/>
          <w:szCs w:val="28"/>
          <w:lang w:eastAsia="en-US"/>
        </w:rPr>
        <w:t>ромбоэмболи</w:t>
      </w:r>
      <w:r>
        <w:rPr>
          <w:rFonts w:ascii="Times New Roman" w:hAnsi="Times New Roman"/>
          <w:sz w:val="28"/>
          <w:szCs w:val="28"/>
          <w:lang w:eastAsia="en-US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Е2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эстрадиол</w:t>
      </w:r>
      <w:proofErr w:type="spellEnd"/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35E2B">
        <w:rPr>
          <w:rFonts w:ascii="Times New Roman" w:hAnsi="Times New Roman"/>
          <w:sz w:val="28"/>
          <w:szCs w:val="28"/>
          <w:lang w:eastAsia="en-US"/>
        </w:rPr>
        <w:t>БС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и</w:t>
      </w:r>
      <w:r w:rsidRPr="00B35E2B">
        <w:rPr>
          <w:rFonts w:ascii="Times New Roman" w:hAnsi="Times New Roman"/>
          <w:sz w:val="28"/>
          <w:szCs w:val="28"/>
          <w:lang w:eastAsia="en-US"/>
        </w:rPr>
        <w:t>шемическ</w:t>
      </w:r>
      <w:r>
        <w:rPr>
          <w:rFonts w:ascii="Times New Roman" w:hAnsi="Times New Roman"/>
          <w:sz w:val="28"/>
          <w:szCs w:val="28"/>
          <w:lang w:eastAsia="en-US"/>
        </w:rPr>
        <w:t xml:space="preserve">ая </w:t>
      </w:r>
      <w:r w:rsidRPr="00B35E2B">
        <w:rPr>
          <w:rFonts w:ascii="Times New Roman" w:hAnsi="Times New Roman"/>
          <w:sz w:val="28"/>
          <w:szCs w:val="28"/>
          <w:lang w:eastAsia="en-US"/>
        </w:rPr>
        <w:t>болезн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сердца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контрацептив 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ЛПВП-ХС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холетсерин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липопротеидов высокой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ЛПНП-ХС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холестерин липопротеидов низкой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МГТ – менопаузальная гормональная терапия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общий холестерин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ПТГ – паратиреоидный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СНС – симпатическая нервная система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ССЗ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B35E2B">
        <w:rPr>
          <w:rFonts w:ascii="Times New Roman" w:hAnsi="Times New Roman"/>
          <w:sz w:val="28"/>
          <w:szCs w:val="28"/>
          <w:lang w:eastAsia="en-US"/>
        </w:rPr>
        <w:t>сердечно-сосудисты</w:t>
      </w:r>
      <w:r>
        <w:rPr>
          <w:rFonts w:ascii="Times New Roman" w:hAnsi="Times New Roman"/>
          <w:sz w:val="28"/>
          <w:szCs w:val="28"/>
          <w:lang w:eastAsia="en-US"/>
        </w:rPr>
        <w:t>е заболевания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ТТГ</w:t>
      </w:r>
      <w:r>
        <w:rPr>
          <w:rFonts w:ascii="Times New Roman" w:hAnsi="Times New Roman"/>
          <w:sz w:val="28"/>
          <w:szCs w:val="28"/>
          <w:lang w:eastAsia="en-US"/>
        </w:rPr>
        <w:t xml:space="preserve"> – тиреотропный 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УЗИ</w:t>
      </w:r>
      <w:r>
        <w:rPr>
          <w:rFonts w:ascii="Times New Roman" w:hAnsi="Times New Roman"/>
          <w:sz w:val="28"/>
          <w:szCs w:val="28"/>
          <w:lang w:eastAsia="en-US"/>
        </w:rPr>
        <w:t xml:space="preserve"> – ультразвуковое исследование</w:t>
      </w:r>
    </w:p>
    <w:p w:rsidR="00544F0B" w:rsidRPr="007B7C11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менопаузы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ФСГ</w:t>
      </w:r>
      <w:r>
        <w:rPr>
          <w:rFonts w:ascii="Times New Roman" w:hAnsi="Times New Roman"/>
          <w:sz w:val="28"/>
          <w:szCs w:val="28"/>
          <w:lang w:eastAsia="en-US"/>
        </w:rPr>
        <w:t xml:space="preserve"> – фолликулостимулирующий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ЧАФ</w:t>
      </w:r>
      <w:r>
        <w:rPr>
          <w:rFonts w:ascii="Times New Roman" w:hAnsi="Times New Roman"/>
          <w:sz w:val="28"/>
          <w:szCs w:val="28"/>
          <w:lang w:eastAsia="en-US"/>
        </w:rPr>
        <w:t xml:space="preserve"> – число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 xml:space="preserve"> фолликулов</w:t>
      </w: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Default="00DF41E3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610D4" w:rsidRPr="002B66E9" w:rsidRDefault="00A610D4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541F2" w:rsidRDefault="00C541F2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То, как мы будем стареть, зависит от нас!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«Вечерние часы жизни могут быть самыми прекрасными, подобно тому, как красивейшие лепестки цветка распускаются последними!»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Cs w:val="28"/>
          <w:lang w:eastAsia="en-US"/>
        </w:rPr>
        <w:t>Сэмюэль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Cs w:val="28"/>
          <w:lang w:eastAsia="en-US"/>
        </w:rPr>
        <w:t>Смайлс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>, шотландский писатель и реформатор</w:t>
      </w: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6C1F" w:rsidRDefault="00E42A25" w:rsidP="004F41F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t>ВВЕДЕНИЕ</w:t>
      </w:r>
    </w:p>
    <w:p w:rsidR="00C541F2" w:rsidRPr="00366126" w:rsidRDefault="00C541F2" w:rsidP="004F41F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66C1F" w:rsidRPr="00366126" w:rsidRDefault="00DF41E3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В России, как и во всем мире наблюдается тенденция к увеличению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продолжительности жизни</w:t>
      </w:r>
      <w:r w:rsidRPr="00366126">
        <w:rPr>
          <w:rFonts w:ascii="Times New Roman" w:hAnsi="Times New Roman"/>
          <w:sz w:val="28"/>
          <w:szCs w:val="28"/>
          <w:lang w:eastAsia="en-US"/>
        </w:rPr>
        <w:t>. Так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к 2025 году каждая вторая женщина </w:t>
      </w:r>
      <w:r w:rsidRPr="00366126">
        <w:rPr>
          <w:rFonts w:ascii="Times New Roman" w:hAnsi="Times New Roman"/>
          <w:sz w:val="28"/>
          <w:szCs w:val="28"/>
          <w:lang w:eastAsia="en-US"/>
        </w:rPr>
        <w:t>перешагнет 45-летний возрастной порог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 Общая численность женщин старше 50 лет на Земле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 настоящее время составляет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500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в России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около 30% всего населения составляют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женщин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ы в возрасте 40-69 лет (2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9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Длительность постменопаузы составляет 30-40% от всей продолжительности жизни женщины и 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реть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своей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жизни женщина проводит в состоянии эстрогенного дефицита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. Несмотря на большую по сравнению с мужчинами продолжительность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жизни женщин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эти «дополнительные» годы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к сожалению,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нередко омрачаются потерей здоровья и общего благополучия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1, 2, 3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Поэтому в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 многих странах мира усилия правительства, официальных органов здравоохранения, исследователей и практических врачей направлены на достижение одной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цели - здорового или успешного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старения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1, 4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E42A25" w:rsidRDefault="00466C1F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Согласно демографическим прогнозам, к 2030 году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более 1,2 млрд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женщин вступят в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менопаузы. В нашей стране, по сведениям статистических данных, более 39% граждан пенсионного возраста продолжают работать, из этого количества 50% - женщины порядка 55–59 лет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1, 5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Менопауза или к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лимактерий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(климакс)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="00E42A25" w:rsidRPr="00366126">
        <w:rPr>
          <w:rFonts w:ascii="Times New Roman" w:hAnsi="Times New Roman"/>
          <w:sz w:val="28"/>
          <w:szCs w:val="28"/>
        </w:rPr>
        <w:t xml:space="preserve">преддверие старости, но не сама старость, а </w:t>
      </w:r>
      <w:r w:rsidRPr="00366126">
        <w:rPr>
          <w:rFonts w:ascii="Times New Roman" w:hAnsi="Times New Roman"/>
          <w:sz w:val="28"/>
          <w:szCs w:val="28"/>
          <w:lang w:eastAsia="en-US"/>
        </w:rPr>
        <w:t>закономерный физиологический процесс, который невозможно остановить, однако необходимо помочь женщине чувствовать себя уверенно и комфортно в любой ситуации.</w:t>
      </w:r>
    </w:p>
    <w:p w:rsidR="00A610D4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10D4" w:rsidRPr="00366126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A25" w:rsidRPr="00366126" w:rsidRDefault="00E42A25" w:rsidP="00CE4644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t>СИНДРОМ ПРЕЖДЕВРЕМЕННОГО СТАРЕНИЯ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Особенностью функционирования репродуктивной системы является ее постепенное прижизненное угасание: с 35 лет – репродуктивной, с 45–50 – менструальной и гормональной функций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4, 5, 6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актуальным направлением в современной медицине 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своевременное выявление и лечение синдрома преждевременного старения у женщин. </w:t>
      </w:r>
      <w:r w:rsidR="00E42A25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физиологическое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преждевременное старение.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Физиологическое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как естественное начало и постепенное развитие инволюционных (возрастных) изменений, ограничивающих способность организма к адаптации к окружающей среде.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Преждевременное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наиболее часто встречающаяся форма старения людей в возрасте после 40-50 лет, которая </w:t>
      </w:r>
      <w:r w:rsidR="002B66E9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частичным или общим ускорением темпа старения, приводящее к тому, что человек «опережает» средний уровень старения своей возрастной группы. Совокупность патологических изменений, характерных для описываемого феномена, получил название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синдрома преждевременного старения.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 преждевременного старения является новым междисциплинарным направлением медицинской науки и практики, основанным на подходах доказательной медицины и включает в себя индивидуализированное раннее выявление, профилактику, лечение и реабилитацию клинических состояний и заболеваний, ассоциированных с возрастом.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Старение организма и репродуктивной системы — генетически запрограммированный процесс, в результате которого происходит физиологическое ослабление механизмов регуляции, постепенно прекращается координация физиологических процессов, ослабевают компенсаторные реакции.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Продолжительность жизни женщины тесно связана с ее репродуктивным здоровьем. К факторам женского здоровья, предположительно оказывающим влияние на продолжительность жизни, относят 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количество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>беременностей, их течение, количество родов, искусственных и самопроизвольных абортов, менопаузу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Клинико-гормональная характеристика этапов старения репродуктивной системы представлена в результатах 10-летних крупных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когортных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исследований (STRAW+10 –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StagesofReproductiveAgingWorkshop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(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Рис. </w:t>
      </w:r>
      <w:r w:rsidRPr="00366126">
        <w:rPr>
          <w:rFonts w:ascii="Times New Roman" w:hAnsi="Times New Roman"/>
          <w:sz w:val="28"/>
          <w:szCs w:val="28"/>
          <w:lang w:eastAsia="en-US"/>
        </w:rPr>
        <w:t>1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Для определения трех основных стадий (репродуктивный период, менопаузальный переход и постменопауза) используются стандартные термины, каждый из которых далее подразделяется на ранний, расцвет (только репродуктивный период) и поздний этапы. В общей сложности существует всего десять отдельных ст</w:t>
      </w:r>
      <w:r w:rsidR="00485877">
        <w:rPr>
          <w:rFonts w:ascii="Times New Roman" w:hAnsi="Times New Roman"/>
          <w:sz w:val="28"/>
          <w:szCs w:val="28"/>
          <w:lang w:eastAsia="en-US"/>
        </w:rPr>
        <w:t>адий, обозначенных от -5 до +2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6, 7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Разработаны четко очерченные критерии   STRAW+10, которые выделяют:</w:t>
      </w:r>
    </w:p>
    <w:p w:rsidR="002B66E9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Поздний репродуктивный период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который</w:t>
      </w:r>
      <w:r w:rsidR="002B66E9"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подразделяется</w:t>
      </w:r>
      <w:r w:rsidR="00A610D4">
        <w:rPr>
          <w:rFonts w:ascii="Times New Roman" w:hAnsi="Times New Roman"/>
          <w:sz w:val="28"/>
          <w:szCs w:val="28"/>
          <w:lang w:eastAsia="en-US"/>
        </w:rPr>
        <w:t xml:space="preserve"> на 2 стадии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(-3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-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3а), в рамках которых выявляются низкие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значения </w:t>
      </w:r>
      <w:proofErr w:type="spellStart"/>
      <w:r w:rsidR="002B66E9" w:rsidRPr="00366126">
        <w:rPr>
          <w:rFonts w:ascii="Times New Roman" w:hAnsi="Times New Roman"/>
          <w:sz w:val="28"/>
          <w:szCs w:val="28"/>
          <w:lang w:eastAsia="en-US"/>
        </w:rPr>
        <w:t>антимюллерового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гормона (АМГ) и, возможно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ингибина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 и числа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фолликулов (ЧАФ). </w:t>
      </w:r>
    </w:p>
    <w:p w:rsidR="002B66E9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3б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характеризуется регулярными менструациями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и отсутствием выраженных колебаний уровня </w:t>
      </w:r>
      <w:r w:rsidRPr="00366126">
        <w:rPr>
          <w:rFonts w:ascii="Times New Roman" w:hAnsi="Times New Roman"/>
          <w:sz w:val="28"/>
          <w:szCs w:val="28"/>
          <w:lang w:eastAsia="en-US"/>
        </w:rPr>
        <w:t>фолликулостимулирующего гормона (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ФСГ</w:t>
      </w:r>
      <w:r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в ранней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фазе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тадия -3а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проявляется незначительными изменениями характера менструальных циклов (чаще – укорочение цикла) на фоне </w:t>
      </w:r>
      <w:r w:rsidRPr="00366126">
        <w:rPr>
          <w:rFonts w:ascii="Times New Roman" w:hAnsi="Times New Roman"/>
          <w:sz w:val="28"/>
          <w:szCs w:val="28"/>
          <w:lang w:eastAsia="en-US"/>
        </w:rPr>
        <w:t>повышения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выраженной вариабельности уровня ФСГ.</w:t>
      </w:r>
    </w:p>
    <w:p w:rsidR="002B66E9" w:rsidRPr="00366126" w:rsidRDefault="00466C1F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Переходный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(переход к менопаузе), вне зависимости от </w:t>
      </w:r>
      <w:r w:rsidR="00366126" w:rsidRPr="00366126">
        <w:rPr>
          <w:rFonts w:ascii="Times New Roman" w:hAnsi="Times New Roman"/>
          <w:sz w:val="28"/>
          <w:szCs w:val="28"/>
          <w:lang w:eastAsia="en-US"/>
        </w:rPr>
        <w:t>возраста женщины, определяется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 момента увеличения вариабельности менструальных циклов, когда самые длинные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и самые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короткие циклы отличаются по своей продолжительности на 7 дней. </w:t>
      </w:r>
    </w:p>
    <w:p w:rsidR="002B66E9" w:rsidRPr="00366126" w:rsidRDefault="00466C1F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Ранняя стадия переходного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периода </w:t>
      </w:r>
      <w:r w:rsidR="002B66E9" w:rsidRPr="00366126">
        <w:rPr>
          <w:rFonts w:ascii="Times New Roman" w:hAnsi="Times New Roman"/>
          <w:i/>
          <w:sz w:val="28"/>
          <w:szCs w:val="28"/>
          <w:lang w:eastAsia="en-US"/>
        </w:rPr>
        <w:t>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-2)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характеризуется колебанием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уровня ФСГ с тенденцией к его повышению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фазе; </w:t>
      </w:r>
    </w:p>
    <w:p w:rsidR="00466C1F" w:rsidRPr="00366126" w:rsidRDefault="002B66E9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оявление периодов аменореи более 60 дней свидетельствует о наступлении поздней стадии переходного периода 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(стадия -1),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которая может продолжаться от 1-го года до 3-х лет и нередко сопровождается появлением первых вазомоторных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психологических, урогенитальных симптомов дефицита эстрогенов. </w:t>
      </w:r>
    </w:p>
    <w:p w:rsidR="00466C1F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Менопауза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стойкое прекращение менструаций, это последняя самостоятельная менструация, обусловленная возрастным снижением и «выключением» гормональной и репродуктивной функции яичников. Дата оценивается ретроспективно: спустя 12 месяцев отсутствия менструации. Выделяют преждевременную менопаузу (до 40 лет), раннюю (40-45 лет), своевременную (46-54 года) и позднюю (старше 55 лет). Начало менопаузы – это специфический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вестник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коррекции симптомов и благоприятной возможности проведения профилактической стратегии для улучшения качества и увеличения продолжительности жизни. </w:t>
      </w:r>
    </w:p>
    <w:p w:rsidR="00466C1F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Перименопауза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переходный период и первый год постменопаузы.</w:t>
      </w:r>
    </w:p>
    <w:p w:rsidR="002B66E9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Постменопауза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подразделяется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раннюю и позднюю стадии. Ранняя постменопауза длится в течение 5-8 </w:t>
      </w:r>
      <w:r w:rsidRPr="00366126">
        <w:rPr>
          <w:rFonts w:ascii="Times New Roman" w:hAnsi="Times New Roman"/>
          <w:sz w:val="28"/>
          <w:szCs w:val="28"/>
          <w:lang w:eastAsia="en-US"/>
        </w:rPr>
        <w:t>лет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состоит из 3-х стадий (+1а, +1</w:t>
      </w:r>
      <w:r w:rsidR="00466C1F"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+1с).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соответствует завершению 12-месячного периода аменореи, необходимого для подтверждения наступления менопаузы и означает также завершение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перименопаузы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</w:t>
      </w:r>
      <w:r w:rsidRPr="00366126">
        <w:rPr>
          <w:rFonts w:ascii="Times New Roman" w:hAnsi="Times New Roman"/>
          <w:i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также длится 1 год и завершается в момент стабилизации уровня ФСГ и эстрадиола (Е2). В этот период вероятность появления вазомоторных симптомов резко возрастает или они усиливаются.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+1с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период стабилизации высокого содержания ФСГ и низкого уровня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 и может продолжаться от 3-х до 6 лет.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Поздняя постменопауза 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+2),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изменениями, связанными с соматическим старением и проявлениями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генитоуринарного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синдрома.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менее выражены, но могут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персистировать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15% случаев длительное время. На первый план выходит соматическое старение. 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 xml:space="preserve">Начиная с переходного периода в организме женщины возникают и манифестируют многие хронические заболевания, которые оказывают влияние как на качество, так и на продолжительность жизни: трудности в реализации репродуктивной функции, гормональный дисбаланс, увеличение количества гинекологических заболеваний, сердечно-сосудистые заболевания, остеопороз и </w:t>
      </w:r>
      <w:proofErr w:type="spellStart"/>
      <w:r w:rsidRPr="00366126">
        <w:rPr>
          <w:rFonts w:ascii="Times New Roman" w:hAnsi="Times New Roman"/>
          <w:sz w:val="28"/>
        </w:rPr>
        <w:t>остеоартроз</w:t>
      </w:r>
      <w:proofErr w:type="spellEnd"/>
      <w:r w:rsidRPr="00366126">
        <w:rPr>
          <w:rFonts w:ascii="Times New Roman" w:hAnsi="Times New Roman"/>
          <w:sz w:val="28"/>
        </w:rPr>
        <w:t>, избыточный вес, ожирение, снижение физической активности, увеличение риска онкологических заболеваний, урогенитальные нарушения, сексуальная дисфункция, снижение когнитивных функций, расстройство интеллекта, депрессия</w:t>
      </w:r>
      <w:r w:rsidR="00485877">
        <w:rPr>
          <w:rFonts w:ascii="Times New Roman" w:hAnsi="Times New Roman"/>
          <w:sz w:val="28"/>
        </w:rPr>
        <w:t xml:space="preserve"> </w:t>
      </w:r>
      <w:r w:rsidR="00485877" w:rsidRPr="00485877">
        <w:rPr>
          <w:rFonts w:ascii="Times New Roman" w:hAnsi="Times New Roman"/>
          <w:sz w:val="28"/>
        </w:rPr>
        <w:t>[</w:t>
      </w:r>
      <w:r w:rsidR="00485877">
        <w:rPr>
          <w:rFonts w:ascii="Times New Roman" w:hAnsi="Times New Roman"/>
          <w:sz w:val="28"/>
        </w:rPr>
        <w:t>8, 9, 10, 11</w:t>
      </w:r>
      <w:r w:rsidR="00485877" w:rsidRPr="00485877">
        <w:rPr>
          <w:rFonts w:ascii="Times New Roman" w:hAnsi="Times New Roman"/>
          <w:sz w:val="28"/>
        </w:rPr>
        <w:t>]</w:t>
      </w:r>
      <w:r w:rsidRPr="00366126">
        <w:rPr>
          <w:rFonts w:ascii="Times New Roman" w:hAnsi="Times New Roman"/>
          <w:sz w:val="28"/>
        </w:rPr>
        <w:t xml:space="preserve">. </w:t>
      </w:r>
    </w:p>
    <w:p w:rsidR="00466C1F" w:rsidRPr="00366126" w:rsidRDefault="00466C1F" w:rsidP="00366126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>Переходный период открывает возможности для профилактики заболеваний, сопровождающих данный период, что позволит улучшить качество жизни и повысить ее продолжительность.</w:t>
      </w:r>
    </w:p>
    <w:p w:rsidR="00466C1F" w:rsidRPr="00366126" w:rsidRDefault="00466C1F" w:rsidP="001C0176">
      <w:pPr>
        <w:numPr>
          <w:ilvl w:val="1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466C1F" w:rsidRPr="00366126" w:rsidSect="00E37BDE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66E9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36D74845" wp14:editId="7BFC511C">
            <wp:simplePos x="0" y="0"/>
            <wp:positionH relativeFrom="margin">
              <wp:posOffset>295275</wp:posOffset>
            </wp:positionH>
            <wp:positionV relativeFrom="margin">
              <wp:posOffset>-496570</wp:posOffset>
            </wp:positionV>
            <wp:extent cx="9429115" cy="5372100"/>
            <wp:effectExtent l="0" t="0" r="635" b="0"/>
            <wp:wrapTopAndBottom/>
            <wp:docPr id="1" name="Рисунок 1" descr="https://gynendo.ru/wp-content/uploads/2012/1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nendo.ru/wp-content/uploads/2012/11/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6126">
        <w:rPr>
          <w:rFonts w:ascii="Times New Roman" w:hAnsi="Times New Roman"/>
          <w:bCs/>
          <w:sz w:val="28"/>
          <w:szCs w:val="28"/>
          <w:lang w:eastAsia="en-US"/>
        </w:rPr>
        <w:t xml:space="preserve">Рисунок 1.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Стадии старения репродуктивной системы женщин согласно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Stages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of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Reproductive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Aging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Workshop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+ 10. </w:t>
      </w:r>
    </w:p>
    <w:p w:rsidR="00466C1F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8"/>
          <w:lang w:val="en-US" w:eastAsia="en-US"/>
        </w:rPr>
        <w:sectPr w:rsidR="00466C1F" w:rsidRPr="00366126" w:rsidSect="00AA14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ПМ - последняя менструация; ФСГ -фолликулостимулирующий гормон; АМГ -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eastAsia="en-US"/>
        </w:rPr>
        <w:t>антимюллеров</w:t>
      </w:r>
      <w:proofErr w:type="spellEnd"/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 гормон. </w:t>
      </w:r>
      <w:r w:rsidR="002B66E9" w:rsidRPr="00366126">
        <w:rPr>
          <w:rFonts w:ascii="Times New Roman" w:hAnsi="Times New Roman"/>
          <w:i/>
          <w:sz w:val="24"/>
          <w:szCs w:val="28"/>
          <w:lang w:eastAsia="en-US"/>
        </w:rPr>
        <w:t>Из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eastAsia="en-US"/>
        </w:rPr>
        <w:t>публикаций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Harlow SD,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Gass</w:t>
      </w:r>
      <w:proofErr w:type="spellEnd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M, Hall JE, et al. Executive Summary: Stages of Reproductive Aging Workshop + 10: addressing the unfinished agenda of staging reproductive aging. Climacteric 2012;15:105-14;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Fertil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Steril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2012;97:843-51;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J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.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Clin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Endocrinol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Metab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2012;97:1159-68;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Menopause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2012;19:387-95.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ab/>
      </w:r>
    </w:p>
    <w:p w:rsidR="00466C1F" w:rsidRPr="00366126" w:rsidRDefault="001A6D86" w:rsidP="00CE4644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</w:pP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lastRenderedPageBreak/>
        <w:t>ДИАГНОСТИКА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МЕНОПАУЗАЛЬНОГО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СТАТУСА</w:t>
      </w:r>
    </w:p>
    <w:p w:rsidR="00466C1F" w:rsidRPr="00366126" w:rsidRDefault="001A6D86" w:rsidP="0048587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Проявления климактерия у женщин довольно вариабельны.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Физиологическое течение климак</w:t>
      </w:r>
      <w:r w:rsidRPr="00366126">
        <w:rPr>
          <w:rFonts w:ascii="Times New Roman" w:hAnsi="Times New Roman"/>
          <w:sz w:val="28"/>
          <w:szCs w:val="28"/>
          <w:lang w:eastAsia="en-US"/>
        </w:rPr>
        <w:t>са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нормальными адаптационными процессами и не сопровождается ухудшением общего состояния. Патологическое течение </w:t>
      </w:r>
      <w:r w:rsidRPr="00366126">
        <w:rPr>
          <w:rFonts w:ascii="Times New Roman" w:hAnsi="Times New Roman"/>
          <w:sz w:val="28"/>
          <w:szCs w:val="28"/>
          <w:lang w:eastAsia="en-US"/>
        </w:rPr>
        <w:t>менопаузы (у 26-48% женщин)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сопровождается сосудистыми, эндокринно-обменными и нейропсихическими нарушениями, что способствует развитию соматической патологии и значительно снижает качество жизни. Оно рассматривается как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мультифакторное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заболевание, в развитии которого ведущую роль играют нарушения вегетативной и гормональной регуляции, снижение адаптационных резервов гипоталамуса и недостаточная его приспособляемость к изменившимся условиям функционирования гипоталамо-гипофизарно-яичниковой системы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1, 7, 8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485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>менопаузальным расстройствам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относятся: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Вазомоторные </w:t>
      </w:r>
      <w:r w:rsidR="001A6D86" w:rsidRPr="00366126">
        <w:rPr>
          <w:rFonts w:ascii="Times New Roman" w:hAnsi="Times New Roman"/>
          <w:b/>
          <w:i/>
          <w:sz w:val="28"/>
          <w:szCs w:val="28"/>
          <w:lang w:eastAsia="en-US"/>
        </w:rPr>
        <w:t>симптомы: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 приливы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жара, ночная потливость, которые могут длиться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большинства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женщин до 7-10 лет и значительно нарушать качество жизни. Тяжелые приливы коррелируют с факторами риска: суррогатными маркерами ишемической болезни сердца (ИБС) и клиническими сердечно-сосудистыми событиями  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Нарушения сна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могут быть связаны с ночной потливостью, но нередко являются независимым признаком пери- и ранней постменопаузы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Когнитивная дисфункция и расстройства настроения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– проявляются в пери- и ранней постменопаузе: плохая концентрация внимания, снижение памяти, трудности при выполнении сложных интеллектуальных задач, депрессия, тревога, перепады настроения. Одновременно у женщин могут быть боли в мышцах и суставах, головные боли, которые связана с нарушениями настроения и эмоций.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Боли в суставах и мышцах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одни из самых частых симптомов у женщин среднего возраста. Сложные взаимодействия генетических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изменений, дефицита половых гормонов и старения, наряду с механическими факторами и системным воспалением, обусловленным метаболическими изменениями, способствуют развитию остеоартрита. Метаболические нарушения, характерные для переходного периода и ранней постменопаузы, оказывают прямое и опосредованное негативное воздействие на здоровье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суставов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обменные процессы в хряще, влияя на прогрессирование остеоартрита.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Генитоуринарный</w:t>
      </w:r>
      <w:proofErr w:type="spellEnd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синдром в менопаузе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симптомы и признаки атрофических процессов в мочеполовой системе чаще проявляется в поздней постменопаузе и включают 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посткоитальное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кровотечение,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снижение сексуального влечения и влагалищной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смазки во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время половой жизни, стрессовое или ургентное недержание мочи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Сексуальная дисфункция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снижение уровня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эстрогенов оказывает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негативное воздействие на сексуальную функцию женщин вследствие многих взаимосвязанных причин: вазомоторные симптомы, нарушение сна, изменение пропорций тела, депрессивные проявления, сухость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1A6D86" w:rsidRPr="001A7C50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Изменение массы и пропорций тела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у женщин среднего возраста стабильное увеличение массы тела примерно на 0,5 кг в год определяется возрастом и негативными влияниями внешних факторов (переедание, малоподвижный образ жизни, хронический стресс, депрессия). В то же время накопление абдоминального/висцерального жира, маркером которого служит значимое увеличение окружности талии, даже у худых женщин может быть связано с относительной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гиперандрогенией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В постменопаузе абдоминальное ожирение отмечается в 5 раз чаще, чем у женщин репродуктивного возраста.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Обязательным является тщательный сбор общего медицинского анамнеза, включающего наличие сердечно-сосудистых заболеваний (ССЗ), сахарного диабета, венозной тромбоэмболии (ВТЭ), заболеваний молочных желез, онкологических заболеваний, остеопороза, дисфункции щитовидной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железы, аутоиммунных нарушений, проблем с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психическим здоровьем</w:t>
      </w:r>
      <w:r w:rsidRPr="00366126">
        <w:rPr>
          <w:rFonts w:ascii="Times New Roman" w:hAnsi="Times New Roman"/>
          <w:sz w:val="28"/>
          <w:szCs w:val="28"/>
          <w:lang w:eastAsia="en-US"/>
        </w:rPr>
        <w:t>, а также получаемое в настоящее время медикаментозное лечение.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При сборе гинекологического анамнеза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уточняется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менопаузы, тип менопаузы (естественная или ятрогенная), характер менструального цикла (частота, продолжительность и объем менструальных выделений), доброкачественные и злокачественные гинекологические заболеваний, признаки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предменструальный синдром в анамнезе и подробности любого гинекологического хирургического вмешательства, если таковое имело место.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Важным для назначения терапии дефицита эстрогенов является сбор акушерского анамнеза: число беременностей, общая продолжительность лактации, число самопроизвольных выкидышей и искусственных абортов. Такие осложнения беременности, как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гестационный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сахарный диабет, гипертензия беременных, преэклампсия, преждевременные роды и низкий, не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соответствующий </w:t>
      </w:r>
      <w:proofErr w:type="spellStart"/>
      <w:r w:rsidR="001A6D86" w:rsidRPr="00366126">
        <w:rPr>
          <w:rFonts w:ascii="Times New Roman" w:hAnsi="Times New Roman"/>
          <w:sz w:val="28"/>
          <w:szCs w:val="28"/>
          <w:lang w:eastAsia="en-US"/>
        </w:rPr>
        <w:t>гестационному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сроку, вес плода при рождении, относятся к специфическим факторам риска сердечно-сосудистых заболеваний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женщин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могут свидетельствовать о наличии ранней эндотелиальной дисфункции и/или латентного сосудистого заболевания или метаболического нарушения.</w:t>
      </w:r>
    </w:p>
    <w:p w:rsidR="00D675AE" w:rsidRPr="00366126" w:rsidRDefault="00D675AE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</w:t>
      </w:r>
      <w:r w:rsidR="001A6D86" w:rsidRPr="00366126">
        <w:rPr>
          <w:rFonts w:ascii="Times New Roman" w:hAnsi="Times New Roman"/>
          <w:sz w:val="28"/>
          <w:szCs w:val="28"/>
        </w:rPr>
        <w:t>женщин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ССЗ и связанной с ними инвалидности и смертности, чем у </w:t>
      </w:r>
      <w:r w:rsidR="001A6D86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в постменопаузе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1A6D86" w:rsidRPr="00366126">
        <w:rPr>
          <w:rFonts w:ascii="Times New Roman" w:hAnsi="Times New Roman"/>
          <w:sz w:val="28"/>
          <w:szCs w:val="28"/>
        </w:rPr>
        <w:t>риск развития</w:t>
      </w:r>
      <w:r w:rsidRPr="00366126">
        <w:rPr>
          <w:rFonts w:ascii="Times New Roman" w:hAnsi="Times New Roman"/>
          <w:sz w:val="28"/>
          <w:szCs w:val="28"/>
        </w:rPr>
        <w:t xml:space="preserve"> сердечно-сосудистых заболеваний. В России первичная профилактика сердечно-сосудистых заболеваний, в основном, направлена на мужчин, а лучший путь предупредить ССЗ и выявить нарушения на ранней стадии – это период жизни женщин с пери- и ранней постменопаузы (6-8 лет).</w:t>
      </w:r>
    </w:p>
    <w:p w:rsidR="001A6D86" w:rsidRPr="00366126" w:rsidRDefault="001A6D86" w:rsidP="001A7C5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66126">
        <w:rPr>
          <w:rFonts w:ascii="Times New Roman" w:hAnsi="Times New Roman"/>
          <w:iCs/>
          <w:sz w:val="28"/>
          <w:szCs w:val="28"/>
          <w:lang w:eastAsia="en-US"/>
        </w:rPr>
        <w:t xml:space="preserve">Оценка состояния здоровья женщин среднего возраста включает </w:t>
      </w:r>
      <w:r w:rsidRPr="00366126">
        <w:rPr>
          <w:rFonts w:ascii="Times New Roman" w:hAnsi="Times New Roman"/>
          <w:b/>
          <w:iCs/>
          <w:sz w:val="28"/>
          <w:szCs w:val="28"/>
          <w:lang w:eastAsia="en-US"/>
        </w:rPr>
        <w:t>обязательные и условные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 xml:space="preserve"> обследования.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lastRenderedPageBreak/>
        <w:t xml:space="preserve">К обязательным обследованиям 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>относятся у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точнение личного и семейного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анамнеза: </w:t>
      </w:r>
      <w:proofErr w:type="spellStart"/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гистер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- или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овариэктомия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злокачественные опухоли репродуктивных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органов, </w:t>
      </w:r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тромбозы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(опросник – см. приложение), остеопороз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 и наличие переломов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Pr="00366126">
        <w:rPr>
          <w:rFonts w:ascii="Times New Roman" w:hAnsi="Times New Roman"/>
          <w:sz w:val="28"/>
          <w:szCs w:val="28"/>
          <w:lang w:eastAsia="en-US"/>
        </w:rPr>
        <w:t>, заболевания ЖКТ, диабет, деменция, заболев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ания щитовидной железы, курение/</w:t>
      </w:r>
      <w:r w:rsidRPr="00366126">
        <w:rPr>
          <w:rFonts w:ascii="Times New Roman" w:hAnsi="Times New Roman"/>
          <w:sz w:val="28"/>
          <w:szCs w:val="28"/>
          <w:lang w:eastAsia="en-US"/>
        </w:rPr>
        <w:t>алкоголизм, питание, физические нагрузки.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Тщательный сбор анамнеза позволяет выявить факторы, «заблаговременно» влияющие на процесс увядания женской репродуктивной функции: </w:t>
      </w:r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табакокурение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ожирение, отягощенный акушерский анамнез, отягощенный гинекологический анамнез,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экстрагенитальная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патология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[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1, 3, 4, 8, 12, 13, 14, 15, 16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]</w:t>
      </w:r>
      <w:r w:rsidR="001A717A"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Общее обследование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расчет </w:t>
      </w:r>
      <w:r w:rsidRPr="00366126">
        <w:rPr>
          <w:rFonts w:ascii="Times New Roman" w:hAnsi="Times New Roman"/>
          <w:sz w:val="28"/>
          <w:szCs w:val="28"/>
          <w:lang w:eastAsia="en-US"/>
        </w:rPr>
        <w:t>индекс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массы тела,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измерение артериального давления (АД)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клинический анали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з крови; гинекологическое исследование;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онкоцитологи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ю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(РАР-тест);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ультразвуковое исследование (</w:t>
      </w:r>
      <w:r w:rsidRPr="00366126">
        <w:rPr>
          <w:rFonts w:ascii="Times New Roman" w:hAnsi="Times New Roman"/>
          <w:sz w:val="28"/>
          <w:szCs w:val="28"/>
          <w:lang w:eastAsia="en-US"/>
        </w:rPr>
        <w:t>УЗИ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органов малого таза  (при толщине эндометрия до 4 мм МГТ не противопоказана, до 7 мм –  назначаются прогестагены на 12-14 дней и контроль УЗИ на 5-й день «менструации»; более  7 мм - гистероскопия и диагностическое выскабливание; обследование молочных желез – пальпация, маммография (после 40 лет ежегодная);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липидограмма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(ОХС, ЛПНП-ХС, ЛПВП-ХС); глюкоза и ТТГ в крови.</w:t>
      </w:r>
    </w:p>
    <w:p w:rsidR="00466C1F" w:rsidRPr="00366126" w:rsidRDefault="00817057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>Дополнительные</w:t>
      </w:r>
      <w:r w:rsidR="00466C1F"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 xml:space="preserve"> обследования</w:t>
      </w:r>
      <w:r w:rsidR="00466C1F" w:rsidRPr="0036612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: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УЗИ печени и печеночные ферменты;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анализ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кров</w:t>
      </w:r>
      <w:r w:rsidRPr="00366126">
        <w:rPr>
          <w:rFonts w:ascii="Times New Roman" w:hAnsi="Times New Roman"/>
          <w:sz w:val="28"/>
          <w:szCs w:val="28"/>
          <w:lang w:eastAsia="en-US"/>
        </w:rPr>
        <w:t>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тромбофилические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мутации</w:t>
      </w:r>
      <w:r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ФСГ, Е2, пролактин, АМГ,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ингибин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(после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гистерэктомии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для уточнения яичниковых резервов)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рентгеновская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денситометрия;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6D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817057" w:rsidP="00CE464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ПРИНЦИПЫ НАЗНАЧЕНИЯ МЕНОПАУЗАЛЬНОЙ ГОРМОНАЛЬНОЙ ТЕРАПИИ</w:t>
      </w:r>
    </w:p>
    <w:p w:rsidR="00466C1F" w:rsidRPr="00A610D4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стратегия поддержания здоровья женщин в пери- и постменопаузе, наряду с обязательным соблюдением здорового образа жизни, включает </w:t>
      </w:r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менопаузальную гормональную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терапию</w:t>
      </w:r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(МГТ)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Цель МГТ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частично восполнить сниженную функцию яичников при дефиците половых гормонов, используя такие минимально-оптимальные дозы гормональных препаратов, которые реально улучшили бы общее состояние больных, обеспечили бы профилактику поздних обменных нарушений и не сопровождались бы побочными эффектами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3, 7,8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Показания для назначения МГТ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с изменением настроения, нарушением сна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симптомы урогенитальной атрофии, сексуальная дисфункция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и лечение остеопороза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низкое качество жизни, связанное с климактерием, включая артралгии и мышечные боли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</w:t>
      </w:r>
    </w:p>
    <w:p w:rsidR="00466C1F" w:rsidRPr="001A7C50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овариэктомия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рекомендуется придерживаться так называемой «временной»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гипотезы: начинать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 в возрасте моложе 60 лет, при длительности постменопаузы менее 10 лет.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включает большой спектр гормональных препаратов для перорального и парентерального введения в различных дозах с учетом данных личного и семейного анамнеза, мотивации женщин, результатов соответствующих исследований и здоровья женщины.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Дозы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эстрогенов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низкие и соответствуют уровню таковых в крови молодых женщин в ранней фазе пролиферации.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Сочетание эстрогенов с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защищать эндометрий от гиперпластических процессов при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интактной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матке.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предоставлять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женщинам соответствующую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новую объективную информацию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позволяла бы им принимать </w:t>
      </w:r>
      <w:r w:rsidR="00817057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осознанное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информированное решение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МГТ.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Режимы МГТ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эстрогенами или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Комбинированная терапия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интактной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циклическом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фазе менопаузального перехода и в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онофазная комбинированная терапия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непрерывном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постменопаузе.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17057" w:rsidRPr="00366126" w:rsidRDefault="00817057" w:rsidP="001A7C50">
      <w:pPr>
        <w:pStyle w:val="a5"/>
        <w:spacing w:after="0" w:line="360" w:lineRule="auto"/>
        <w:ind w:left="121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466C1F" w:rsidP="001A7C50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Монотерапия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Монотерапия эстрогенами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женщинам с удаленной маткой. Используются препараты, содержащие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17β,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эстрадиолавалерат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Пути введения: пероральный (таблетки) и парентеральный (накожный – гели/пластыри; вагинальный - таблетки/кремы/свечи/кольца; инъекционный); прерывистые курсы или непрерывный режим.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назначаются в фазе менопаузального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регуляции цикла и лечения гиперпластических процессов.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микронизированный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прогестерон (перорально или вагинально), дидрогестерон перорально. Возможно введение ВМС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левоноргестрелом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трацептивной и лечебной целью.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  <w:tab w:val="left" w:pos="1560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Комбинированная терапия в циклическом режиме </w:t>
      </w:r>
    </w:p>
    <w:p w:rsidR="00466C1F" w:rsidRPr="00E32AC5" w:rsidRDefault="00466C1F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Двухфазные препараты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назначаются в фазе менопаузального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непрерывный циклический режим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1/10, 2/10) либо прерывистый циклический режим (см. приложение). Следует информировать женщину о том, что препараты для МГТ не обладают контрацептивным эффектом.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Монофазная комбинированная терапия в непрерывном режиме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в постменопаузе. 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1/5,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а также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тиболон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организме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метаболизируется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эстроген, гестаген и андроген.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Препараты эстрогенов выпускаются в различных дозах. Эти дозы рекомендуются женщинам в пери- и постменопаузе. Молодым женщинам могут потребоваться более высокие дозы эстрогенов. </w:t>
      </w:r>
    </w:p>
    <w:p w:rsidR="00544F0B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представляет собой высокий риск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остеопороза и деменции. МГТ позволяет уменьшить климактерические симптомы и сохранить плотность костной ткани; показана до возраста естественной менопаузы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F0B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Решение о проведении МГТ принимается индивидуально с учетом жалоб, симптомов эстроген-дефицита, качества жизни и показателей здоровья, а также учитывая индивидуальные факторы риска такие, как возраст, длительность постменопаузы и риск венозной тромбоэмболии, инсульта, ИБС и рака молочной железы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не следует назначать без четких показаний.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продолжительность приема комбинированной гормонотерапии составляет 5 лет, монотерапии эстрогенами – 7 лет.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Решение о дозе и продолжительности МГТ должно приниматься индивидуально с учетом цели терапии, например, уменьшения симптомов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04F7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продолжении МГТ или об отказе отдано на усмотрение хорошо информированной пациентки и врача с учетом объективной оценки индивидуального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баланса пользы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риска.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Противопоказания для МГТ</w:t>
      </w:r>
      <w:r w:rsidR="00B004F7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кровотечение из половых путей неясного генеза;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и эндометрия;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гепатит;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тромбоз глубоких вен;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острая тромбоэмболия;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аллергия к ингредиентам МГТ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кожная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отдельно выделить противопоказания к некоторым половым гормонам.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- для эстрогенов: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ЭР+, рак эндометрия (в анамнезе);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тяжелая дисфункция печени; </w:t>
      </w:r>
    </w:p>
    <w:p w:rsidR="00466C1F" w:rsidRPr="00366126" w:rsidRDefault="00B004F7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4F7" w:rsidRPr="00366126" w:rsidRDefault="00466C1F" w:rsidP="001A7C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гестагенов: </w:t>
      </w:r>
    </w:p>
    <w:p w:rsidR="000F3231" w:rsidRPr="001A7C50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менингиома</w:t>
      </w:r>
      <w:proofErr w:type="spellEnd"/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Относительные противопоказания для МГТ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миома матки,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эндометриоз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мигрень;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венозный тромбоз и эмболия (в анамнезе);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гипертрицеридемия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желчнокаменная болезнь;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эпилепсия; </w:t>
      </w:r>
    </w:p>
    <w:p w:rsidR="00466C1F" w:rsidRPr="001A7C50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яичников (в анамнезе)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тяжелые и часто встречающиеся заболевания женщин старшего возраста, обусловленные не только возрастом, но и эстрогенным дефицитом: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: атеросклероз, </w:t>
      </w:r>
      <w:r w:rsidRPr="00366126">
        <w:rPr>
          <w:rFonts w:ascii="Times New Roman" w:hAnsi="Times New Roman"/>
          <w:sz w:val="28"/>
          <w:szCs w:val="28"/>
          <w:lang w:eastAsia="en-US"/>
        </w:rPr>
        <w:t>артериальная гипертония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, гиперлипидемия</w:t>
      </w:r>
      <w:r w:rsidRPr="00366126">
        <w:rPr>
          <w:rFonts w:ascii="Times New Roman" w:hAnsi="Times New Roman"/>
          <w:sz w:val="28"/>
          <w:szCs w:val="28"/>
          <w:lang w:eastAsia="en-US"/>
        </w:rPr>
        <w:t>;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Неврологические: когнитивные нарушения, снижение памяти, зрения и слуха;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Костно-мышечные: остеопороз, остеоартрит</w:t>
      </w:r>
      <w:r w:rsidR="00B004F7" w:rsidRPr="00366126">
        <w:rPr>
          <w:rFonts w:ascii="Times New Roman" w:hAnsi="Times New Roman"/>
          <w:sz w:val="28"/>
          <w:szCs w:val="28"/>
          <w:lang w:eastAsia="en-US"/>
        </w:rPr>
        <w:t>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</w:t>
      </w:r>
      <w:r w:rsidR="00B004F7" w:rsidRPr="00366126">
        <w:rPr>
          <w:rFonts w:ascii="Times New Roman" w:hAnsi="Times New Roman"/>
          <w:sz w:val="28"/>
          <w:szCs w:val="28"/>
          <w:lang w:eastAsia="en-US"/>
        </w:rPr>
        <w:t>тоуринарный</w:t>
      </w:r>
      <w:proofErr w:type="spellEnd"/>
      <w:r w:rsidR="00B004F7" w:rsidRPr="00366126">
        <w:rPr>
          <w:rFonts w:ascii="Times New Roman" w:hAnsi="Times New Roman"/>
          <w:sz w:val="28"/>
          <w:szCs w:val="28"/>
          <w:lang w:eastAsia="en-US"/>
        </w:rPr>
        <w:t xml:space="preserve"> синдром в менопаузе.</w:t>
      </w:r>
    </w:p>
    <w:p w:rsidR="00B004F7" w:rsidRPr="00E32AC5" w:rsidRDefault="001A7C50" w:rsidP="00A610D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этот период крайне важны вмешательства для улучшения общего состояния, повышения качества жизни, про</w:t>
      </w:r>
      <w:r>
        <w:rPr>
          <w:rFonts w:ascii="Times New Roman" w:hAnsi="Times New Roman"/>
          <w:sz w:val="28"/>
          <w:szCs w:val="28"/>
          <w:lang w:eastAsia="en-US"/>
        </w:rPr>
        <w:t>филактики заболеваний старения</w:t>
      </w:r>
      <w:r w:rsidRPr="001A7C50">
        <w:rPr>
          <w:rFonts w:ascii="Times New Roman" w:hAnsi="Times New Roman"/>
          <w:sz w:val="28"/>
          <w:szCs w:val="28"/>
          <w:lang w:eastAsia="en-US"/>
        </w:rPr>
        <w:t xml:space="preserve"> 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3, 7</w:t>
      </w:r>
      <w:r w:rsidR="00E32AC5" w:rsidRPr="00E32AC5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Индивидуализация МГТ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Индивидуализация МГТ – это дифференцированный подбор МГТ с учетом состояния здоровья женщины и сопутствующих заболеваний, а также режима МГТ (типа, дозы, пути введения и побочных эффектов)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включает следующие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факторы: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возраст женщины и продолжительность постменопаузы: после 60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летнего возраста, либо после 9-10 лет постменопаузы начинать МГТ нецелесообразно;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менструального цикла в репродуктивном периоде (олиго- / аменорея, аномальные маточные кровотечения; периоды длительной аменореи) могут способствовать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остеопении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изменению липидного спектра крови; </w:t>
      </w:r>
    </w:p>
    <w:p w:rsidR="00466C1F" w:rsidRPr="001A7C50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преждевременной менопаузе (до 40 лет) можно обсудить вопрос о целесообразности применения 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комбинированных оральных контрацептивов (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МГТ не является стандартным режимом терапии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для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любой женщины. Риски МГТ могут быть минимизированы, а преимущества – максимально увеличены путем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индивидуального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выбора оптимального режима в оптимальный период времени.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Безопасность МГТ зависит главным образом от возраста.  Данные WHI и других исследований позволяют четко предположить, что с точки зрения любого увеличения риска рака молочной железы, более значим именно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прогестагенный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компонент МГТ, а не эстроген.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Парентеральное введение эстрогенов практически не повышает риск ВТЭ и их применение должно быть предпочтительными у женщин с факторами риска тромбоэмболических явлений при необходимости применени</w:t>
      </w:r>
      <w:r w:rsidR="001A717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МГТ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3, 4, 22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Применение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трансдермальной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формы 17β-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эстрадиола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предпочтительно у женщин с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гипертриглицеридемией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, заболеваниями печени, поджелудочной железы, мигренями и уровнем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систолического АД 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более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170 мм рт.ст.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С точки зрения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кардиопротекции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и, возможно,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нейропротекции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, существует «окно терапевтических возможностей» при назначении МГТ в среднем возрасте.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Женщины могут использовать МГТ при наличии положительного эффекта. Если с отменой МГТ возобновляются менопаузальные симптомы, возможно продолжить прием МГТ в минимальных эффективных дозах.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6D86">
      <w:pPr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1C0176" w:rsidRPr="00366126" w:rsidRDefault="00EA363A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СТИЛЬ ЖИЗНИ И АЛЬТЕРНАТИВНАЯ ТЕРАПИЯ</w:t>
      </w:r>
    </w:p>
    <w:p w:rsidR="00466C1F" w:rsidRPr="00366126" w:rsidRDefault="00466C1F" w:rsidP="001A7C50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Физические упражнения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 снижают смертность от сердечнососудистых заболеваний и общую смертность.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У физически активных лиц наблюдаются лучший метаболический профиль, баланс, мышечная сила, когнитивные способности и качество жизни. Кардиологические заболевания, инсульт, переломы и рак молочной железы и толстой кишки встречаются гораздо реже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3, 4, 21, 23, 24, 25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Оптимальные физические нагрузки составляют как минимум 150 минут упражнений средней интенсивности в неделю. Однако, рекомендованная интенсивность аэробной активности должна учитывать физическое состояние пожилых людей.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Здоровый образ жизни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Снижение массы тела лишь на 5-10% достаточно для коррекции многих нарушений, ассоциированных с синдромом инсулинорезистентности.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7C1B8B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Основные компоненты здорового питания: несколько порций в день фруктов и овощей, цельных злаков, рыба дважды в неделю, и низкое общее потребление жиров,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рекомендуется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отдавать предпочтение оливковому маслу. Потребление соли должно быть ограничено, а дневное количество алкоголя не должно превышать 20 г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1, 3, </w:t>
      </w:r>
      <w:r w:rsidR="00792F6B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4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Необходимо рекомендовать отказ от курения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25, 26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Благоприятный эффект оказывают неформальное общение, физическая и интеллектуальная активность.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Необходим новый стиль взаимоотношений врач-пациент, при котором врач становится советчиком, а пациентка должна взять ответственность за свое собственное здоровье.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Медитация, релаксация и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когнитивно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-поведенческая терапия подают надежды с точки зрения ведения пациенток с приливами, но необходимы</w:t>
      </w:r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рандомизированные</w:t>
      </w:r>
      <w:proofErr w:type="spellEnd"/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исследования.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lastRenderedPageBreak/>
        <w:t>Изменение диеты и физические упражнения могут облегчать приливы, улучшать настроение и качество жизни.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упражнения, снижение массы тела и устранение триггеров приливов (например, кофеина или прямых источников тепла) могут минимизировать приливы и их влияние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3, 4, 8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6088" w:rsidRPr="00366126" w:rsidRDefault="00706088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46B" w:rsidRPr="00366126" w:rsidRDefault="00EA363A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СЕРДЕЧНО-СОСУДИСТЫЕ ЗАБОЛЕВАНИЯ У ЖЕНЩИН</w:t>
      </w:r>
      <w:r w:rsidR="00CE464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A417A">
        <w:rPr>
          <w:rFonts w:ascii="Times New Roman" w:hAnsi="Times New Roman"/>
          <w:b/>
          <w:sz w:val="28"/>
          <w:szCs w:val="28"/>
        </w:rPr>
        <w:t xml:space="preserve"> В ПРЕ-</w:t>
      </w:r>
      <w:r w:rsidRPr="00366126">
        <w:rPr>
          <w:rFonts w:ascii="Times New Roman" w:hAnsi="Times New Roman"/>
          <w:b/>
          <w:sz w:val="28"/>
          <w:szCs w:val="28"/>
        </w:rPr>
        <w:t xml:space="preserve"> И ПОСТМЕНОПАУЗЕ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женщин после 40 </w:t>
      </w:r>
      <w:r w:rsidR="00EA363A" w:rsidRPr="00366126">
        <w:rPr>
          <w:rFonts w:ascii="Times New Roman" w:hAnsi="Times New Roman"/>
          <w:sz w:val="28"/>
          <w:szCs w:val="28"/>
        </w:rPr>
        <w:t>лет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</w:t>
      </w:r>
      <w:r w:rsidR="00EA363A" w:rsidRPr="00366126">
        <w:rPr>
          <w:rFonts w:ascii="Times New Roman" w:hAnsi="Times New Roman"/>
          <w:sz w:val="28"/>
          <w:szCs w:val="28"/>
        </w:rPr>
        <w:t>ССЗ</w:t>
      </w:r>
      <w:r w:rsidRPr="00366126">
        <w:rPr>
          <w:rFonts w:ascii="Times New Roman" w:hAnsi="Times New Roman"/>
          <w:sz w:val="28"/>
          <w:szCs w:val="28"/>
        </w:rPr>
        <w:t xml:space="preserve"> и связанной с ними инвалидности и смертности, чем у </w:t>
      </w:r>
      <w:r w:rsidR="00EA363A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EA363A" w:rsidRPr="00366126">
        <w:rPr>
          <w:rFonts w:ascii="Times New Roman" w:hAnsi="Times New Roman"/>
          <w:sz w:val="28"/>
          <w:szCs w:val="28"/>
        </w:rPr>
        <w:t xml:space="preserve">риск развития ССЗ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1, 4, 8, 28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ССЗ – главная причина смертности у женщин. Повышение риска ССЗ выявляется у 37,2% женщин в возрасте 40-59 лет, у 71,9% - в возрасте 60-79 лет, у 86,7 % – старше 80 лет.</w:t>
      </w:r>
    </w:p>
    <w:p w:rsidR="00AA146B" w:rsidRPr="00366126" w:rsidRDefault="00AA146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Уменьшение количества эстрогенов у женщин среднего </w:t>
      </w:r>
      <w:r w:rsidR="00EA363A" w:rsidRPr="00366126">
        <w:rPr>
          <w:rFonts w:ascii="Times New Roman" w:hAnsi="Times New Roman"/>
          <w:sz w:val="28"/>
          <w:szCs w:val="28"/>
        </w:rPr>
        <w:t>возраста приводит</w:t>
      </w:r>
      <w:r w:rsidRPr="00366126">
        <w:rPr>
          <w:rFonts w:ascii="Times New Roman" w:hAnsi="Times New Roman"/>
          <w:sz w:val="28"/>
          <w:szCs w:val="28"/>
        </w:rPr>
        <w:t xml:space="preserve"> к увеличению уровня холестерина, развитию </w:t>
      </w:r>
      <w:proofErr w:type="spellStart"/>
      <w:r w:rsidRPr="00366126">
        <w:rPr>
          <w:rFonts w:ascii="Times New Roman" w:hAnsi="Times New Roman"/>
          <w:sz w:val="28"/>
          <w:szCs w:val="28"/>
        </w:rPr>
        <w:t>инсулино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-резистентности и сахарного диабета </w:t>
      </w:r>
      <w:r w:rsidR="00EA363A" w:rsidRPr="00366126">
        <w:rPr>
          <w:rFonts w:ascii="Times New Roman" w:hAnsi="Times New Roman"/>
          <w:sz w:val="28"/>
          <w:szCs w:val="28"/>
        </w:rPr>
        <w:t>2</w:t>
      </w:r>
      <w:r w:rsidRPr="00366126">
        <w:rPr>
          <w:rFonts w:ascii="Times New Roman" w:hAnsi="Times New Roman"/>
          <w:sz w:val="28"/>
          <w:szCs w:val="28"/>
        </w:rPr>
        <w:t xml:space="preserve"> типа, увеличению </w:t>
      </w:r>
      <w:r w:rsidR="00EA363A" w:rsidRPr="00366126">
        <w:rPr>
          <w:rFonts w:ascii="Times New Roman" w:hAnsi="Times New Roman"/>
          <w:sz w:val="28"/>
          <w:szCs w:val="28"/>
        </w:rPr>
        <w:t>веса, повышению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EA363A" w:rsidRPr="00366126">
        <w:rPr>
          <w:rFonts w:ascii="Times New Roman" w:hAnsi="Times New Roman"/>
          <w:sz w:val="28"/>
          <w:szCs w:val="28"/>
        </w:rPr>
        <w:t>АД</w:t>
      </w:r>
      <w:r w:rsidRPr="00366126">
        <w:rPr>
          <w:rFonts w:ascii="Times New Roman" w:hAnsi="Times New Roman"/>
          <w:sz w:val="28"/>
          <w:szCs w:val="28"/>
        </w:rPr>
        <w:t>; возникают нарушения электролитного обмена, что способствует возникновению аритмий</w:t>
      </w:r>
      <w:r w:rsidR="007C1B8B">
        <w:rPr>
          <w:rFonts w:ascii="Times New Roman" w:hAnsi="Times New Roman"/>
          <w:sz w:val="28"/>
          <w:szCs w:val="28"/>
        </w:rPr>
        <w:t xml:space="preserve"> </w:t>
      </w:r>
      <w:r w:rsidR="007C1B8B" w:rsidRPr="00A610D4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25, 29</w:t>
      </w:r>
      <w:r w:rsidR="007C1B8B" w:rsidRPr="00A610D4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Частота ИБС увеличивается уже в </w:t>
      </w:r>
      <w:proofErr w:type="spellStart"/>
      <w:r w:rsidRPr="00366126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>, но экспоненциально возрастает в постменопаузе. Женщины реже подвергаются углубленному дополнительному обследованию (например, коронарной ангиографии), что приводит к запоздалой медицинской помощи, особенно при необходимости срочного хирургическо</w:t>
      </w:r>
      <w:r w:rsidR="007C1B8B">
        <w:rPr>
          <w:rFonts w:ascii="Times New Roman" w:hAnsi="Times New Roman"/>
          <w:sz w:val="28"/>
          <w:szCs w:val="28"/>
        </w:rPr>
        <w:t xml:space="preserve">го лечения, что ухудшает исход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1, 2, 3, 4, 8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EA363A" w:rsidRPr="00366126" w:rsidRDefault="007C1B8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EA363A" w:rsidRPr="00366126">
        <w:rPr>
          <w:rFonts w:ascii="Times New Roman" w:hAnsi="Times New Roman"/>
          <w:sz w:val="28"/>
          <w:szCs w:val="28"/>
        </w:rPr>
        <w:t xml:space="preserve"> 1/5 женщин при наличии ишемии миокарда и типичных «болей за грудиной» не выявляется никаких нарушений, что может быть связано с быстро развивающейся у женщин в постменопаузе эндотелиальной </w:t>
      </w:r>
      <w:r w:rsidR="00EA363A" w:rsidRPr="00366126">
        <w:rPr>
          <w:rFonts w:ascii="Times New Roman" w:hAnsi="Times New Roman"/>
          <w:sz w:val="28"/>
          <w:szCs w:val="28"/>
        </w:rPr>
        <w:lastRenderedPageBreak/>
        <w:t>дисфункцией и с нарушением процессов микроциркуляции в сердечной мышце задолго до появления структурных атеросклеротических изменений в стенке сосудов. Риск инсульта удваивается в течение первого десятилетия</w:t>
      </w:r>
      <w:r>
        <w:rPr>
          <w:rFonts w:ascii="Times New Roman" w:hAnsi="Times New Roman"/>
          <w:sz w:val="28"/>
          <w:szCs w:val="28"/>
        </w:rPr>
        <w:t xml:space="preserve"> после прекращения менструаций </w:t>
      </w:r>
      <w:r w:rsidRPr="007C1B8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1, 25</w:t>
      </w:r>
      <w:r w:rsidRPr="007C1B8B">
        <w:rPr>
          <w:rFonts w:ascii="Times New Roman" w:hAnsi="Times New Roman"/>
          <w:sz w:val="28"/>
          <w:szCs w:val="28"/>
        </w:rPr>
        <w:t>]</w:t>
      </w:r>
      <w:r w:rsidR="00EA363A" w:rsidRPr="00366126">
        <w:rPr>
          <w:rFonts w:ascii="Times New Roman" w:hAnsi="Times New Roman"/>
          <w:sz w:val="28"/>
          <w:szCs w:val="28"/>
        </w:rPr>
        <w:t>.</w:t>
      </w:r>
    </w:p>
    <w:p w:rsidR="00122D23" w:rsidRPr="00366126" w:rsidRDefault="00122D23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Вскоре после начала менопаузы практически у всех женщин повышается АД, а риск ишемической болезни сердца (ИБС) без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протективной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поддержки </w:t>
      </w:r>
      <w:r w:rsidR="007C1B8B">
        <w:rPr>
          <w:rFonts w:ascii="Times New Roman" w:hAnsi="Times New Roman"/>
          <w:sz w:val="28"/>
          <w:szCs w:val="28"/>
        </w:rPr>
        <w:t xml:space="preserve">эстрогенами повышен трехкратно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14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, а ранняя менопауза (в 40-45 лет семикратно повышает риск развития ИБС в каждую следующу</w:t>
      </w:r>
      <w:r w:rsidR="007C1B8B">
        <w:rPr>
          <w:rFonts w:ascii="Times New Roman" w:hAnsi="Times New Roman"/>
          <w:sz w:val="28"/>
          <w:szCs w:val="28"/>
        </w:rPr>
        <w:t xml:space="preserve">ю декаду жизни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1, 3, 4, 10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EA363A" w:rsidRPr="007C1B8B" w:rsidRDefault="00EA363A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Немаловажным является выявление образа жизни, включающего курение, злоупотребление алкоголем, степень физической</w:t>
      </w:r>
      <w:r w:rsidR="007C1B8B">
        <w:rPr>
          <w:rFonts w:ascii="Times New Roman" w:hAnsi="Times New Roman"/>
          <w:sz w:val="28"/>
          <w:szCs w:val="28"/>
          <w:lang w:eastAsia="en-US"/>
        </w:rPr>
        <w:t xml:space="preserve"> активности и качество питания.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Какие симптомы нельзя игнорировать женщинам среднего возраста: </w:t>
      </w:r>
      <w:r w:rsidRPr="00366126">
        <w:rPr>
          <w:rFonts w:ascii="Times New Roman" w:hAnsi="Times New Roman"/>
          <w:sz w:val="28"/>
          <w:szCs w:val="28"/>
        </w:rPr>
        <w:t>нарушения ритма сердца – учащение пульса, нерегулярный пульс, перебои; одышка – появление изменений в переносимости нагрузок; боли за грудиной сжимающего, распирающего характера, ощущение жжения, чувство тяжести; головные боли (особенно в затылочной области) и шум в ушах, являющиеся признаками высокого артериального давления; головокружение может быть вызвано рядом расстройств, включая диабет, сердечную недостаточность или аритмию, такую как фибрилляция предсердий; отеки на ногах; боль в руке, лопатке, нижней челюсти – признаки ишемии сердца; неспособность лежать в горизонтальном положении  – признак ишемии аппарата митрального клапана и его недостаточность.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Очень важным для врача и самой пациентки является проведение дифференциальной диагностики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 (</w:t>
      </w:r>
      <w:r w:rsidR="007C1B8B">
        <w:rPr>
          <w:rFonts w:ascii="Times New Roman" w:hAnsi="Times New Roman"/>
          <w:sz w:val="28"/>
          <w:szCs w:val="28"/>
        </w:rPr>
        <w:t>Таб</w:t>
      </w:r>
      <w:r w:rsidR="00A610D4">
        <w:rPr>
          <w:rFonts w:ascii="Times New Roman" w:hAnsi="Times New Roman"/>
          <w:sz w:val="28"/>
          <w:szCs w:val="28"/>
        </w:rPr>
        <w:t>л</w:t>
      </w:r>
      <w:r w:rsidR="007C1B8B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1).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Таблица 1. </w:t>
      </w:r>
      <w:r w:rsidRPr="00366126">
        <w:rPr>
          <w:rFonts w:ascii="Times New Roman" w:hAnsi="Times New Roman"/>
          <w:sz w:val="28"/>
          <w:szCs w:val="28"/>
        </w:rPr>
        <w:t xml:space="preserve">Дифференциальная диагностика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A146B" w:rsidRPr="00366126" w:rsidTr="007C1B8B"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климактерического синдрома</w:t>
            </w:r>
          </w:p>
        </w:tc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ИБС</w:t>
            </w:r>
          </w:p>
        </w:tc>
      </w:tr>
      <w:tr w:rsidR="00AA146B" w:rsidRPr="00366126" w:rsidTr="00AA146B"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gramEnd"/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Сердцебиение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Симпато-адреналовые</w:t>
            </w:r>
            <w:proofErr w:type="gramEnd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кризы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ночью и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gramEnd"/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Сердцебиение 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рано утром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и/или в покое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</w:tr>
      <w:tr w:rsidR="00AA146B" w:rsidRPr="00366126" w:rsidTr="00122D23">
        <w:trPr>
          <w:trHeight w:val="1691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Развитие/увеличение ожирения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функции щитовидной железы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СД</w:t>
            </w:r>
          </w:p>
          <w:p w:rsidR="00AA146B" w:rsidRPr="00366126" w:rsidRDefault="00AA146B" w:rsidP="00E32AC5">
            <w:pPr>
              <w:tabs>
                <w:tab w:val="left" w:pos="60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нарушений липидного обмена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46B" w:rsidRPr="00366126" w:rsidTr="00122D23">
        <w:trPr>
          <w:trHeight w:val="1108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аппетита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Страх смерти</w:t>
            </w:r>
          </w:p>
        </w:tc>
      </w:tr>
    </w:tbl>
    <w:p w:rsidR="00AA146B" w:rsidRPr="00366126" w:rsidRDefault="00AA146B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Климактерическая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66126">
        <w:rPr>
          <w:rFonts w:ascii="Times New Roman" w:hAnsi="Times New Roman"/>
          <w:sz w:val="28"/>
          <w:szCs w:val="28"/>
        </w:rPr>
        <w:t>невоспалительное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 миокарда, в основе которого лежит нарушение метаболизма в сердечной мышце. Данное состояние проявляется дистрофией миокарда, возникающее за счет эндокринных, </w:t>
      </w:r>
      <w:proofErr w:type="gramStart"/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вегетативных</w:t>
      </w:r>
      <w:proofErr w:type="gramEnd"/>
      <w:r w:rsidR="00122D23" w:rsidRPr="00366126">
        <w:rPr>
          <w:rFonts w:ascii="Times New Roman" w:hAnsi="Times New Roman"/>
          <w:sz w:val="28"/>
          <w:szCs w:val="28"/>
        </w:rPr>
        <w:t xml:space="preserve"> нарушений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и обусловленное</w:t>
      </w:r>
      <w:r w:rsidRPr="00366126">
        <w:rPr>
          <w:rFonts w:ascii="Times New Roman" w:hAnsi="Times New Roman"/>
          <w:sz w:val="28"/>
          <w:szCs w:val="28"/>
        </w:rPr>
        <w:t xml:space="preserve"> гормональной перестройкой.</w:t>
      </w:r>
    </w:p>
    <w:p w:rsidR="00AA146B" w:rsidRPr="00366126" w:rsidRDefault="00AA146B" w:rsidP="00E32A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вегетативные</w:t>
      </w:r>
      <w:proofErr w:type="gramEnd"/>
      <w:r w:rsidR="00122D23" w:rsidRPr="00366126">
        <w:rPr>
          <w:rFonts w:ascii="Times New Roman" w:hAnsi="Times New Roman"/>
          <w:sz w:val="28"/>
          <w:szCs w:val="28"/>
        </w:rPr>
        <w:t xml:space="preserve"> нарушения</w:t>
      </w:r>
      <w:r w:rsidRPr="00366126">
        <w:rPr>
          <w:rFonts w:ascii="Times New Roman" w:hAnsi="Times New Roman"/>
          <w:sz w:val="28"/>
          <w:szCs w:val="28"/>
        </w:rPr>
        <w:t xml:space="preserve"> приводят </w:t>
      </w:r>
      <w:r w:rsidR="00122D23" w:rsidRPr="00366126">
        <w:rPr>
          <w:rFonts w:ascii="Times New Roman" w:hAnsi="Times New Roman"/>
          <w:sz w:val="28"/>
          <w:szCs w:val="28"/>
        </w:rPr>
        <w:t>к повышению</w:t>
      </w:r>
      <w:r w:rsidRPr="00366126">
        <w:rPr>
          <w:rFonts w:ascii="Times New Roman" w:hAnsi="Times New Roman"/>
          <w:sz w:val="28"/>
          <w:szCs w:val="28"/>
        </w:rPr>
        <w:t xml:space="preserve"> тонуса </w:t>
      </w:r>
      <w:r w:rsidR="00122D23" w:rsidRPr="00366126">
        <w:rPr>
          <w:rFonts w:ascii="Times New Roman" w:hAnsi="Times New Roman"/>
          <w:sz w:val="28"/>
          <w:szCs w:val="28"/>
        </w:rPr>
        <w:t>симпатической нервной системы (СНС),</w:t>
      </w:r>
      <w:r w:rsidRPr="00366126">
        <w:rPr>
          <w:rFonts w:ascii="Times New Roman" w:hAnsi="Times New Roman"/>
          <w:sz w:val="28"/>
          <w:szCs w:val="28"/>
        </w:rPr>
        <w:t xml:space="preserve"> усилению адренергических влияний на сердце, повышенной экскреции катехоламинов, изменению электролитного дисбаланса: снижению содержания К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в крови, повышению содержания 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Pr="00366126">
        <w:rPr>
          <w:rFonts w:ascii="Times New Roman" w:hAnsi="Times New Roman"/>
          <w:sz w:val="28"/>
          <w:szCs w:val="28"/>
        </w:rPr>
        <w:t xml:space="preserve"> в крови, изменению соотношений </w:t>
      </w:r>
      <w:r w:rsidRPr="00366126">
        <w:rPr>
          <w:rFonts w:ascii="Times New Roman" w:hAnsi="Times New Roman"/>
          <w:sz w:val="28"/>
          <w:szCs w:val="28"/>
          <w:lang w:val="en-US"/>
        </w:rPr>
        <w:t>Na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K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2D23" w:rsidRPr="00366126">
        <w:rPr>
          <w:rFonts w:ascii="Times New Roman" w:hAnsi="Times New Roman"/>
          <w:sz w:val="28"/>
          <w:szCs w:val="28"/>
        </w:rPr>
        <w:t>Ca</w:t>
      </w:r>
      <w:proofErr w:type="spellEnd"/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="00E32AC5" w:rsidRPr="00E32A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10, 11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Климактерическая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развивается у 20% женщин до наступления расстройств менструальной функции; у 30% - в период менопаузы; у 50% - с наступлением расстройств менструальной функции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Основным симптомом климактерической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является болевые ощущения в сердце тянущего или резкого характера. Боль может возникать внезапно или при физических нагрузках. Также пациентки жалуются на головокружения, ком в горле, нехватку воздуха, ощущение холода в конечностях, шум в ушах, слабость, быструю утомляемость, </w:t>
      </w:r>
      <w:r w:rsidRPr="00366126">
        <w:rPr>
          <w:rFonts w:ascii="Times New Roman" w:hAnsi="Times New Roman"/>
          <w:sz w:val="28"/>
          <w:szCs w:val="28"/>
        </w:rPr>
        <w:lastRenderedPageBreak/>
        <w:t>учащённое сердцебиение, раздражительность, нарушения сна, повышенное потоотделение, аритмию, перепады настроения;</w:t>
      </w:r>
    </w:p>
    <w:p w:rsidR="00AA146B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На фоне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часто развивается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кардиалгия</w:t>
      </w:r>
      <w:proofErr w:type="spellEnd"/>
      <w:r w:rsidRPr="00366126">
        <w:rPr>
          <w:rFonts w:ascii="Times New Roman" w:hAnsi="Times New Roman"/>
          <w:sz w:val="28"/>
          <w:szCs w:val="28"/>
        </w:rPr>
        <w:t>, тогда болевые ощущения будут отдавать в чел</w:t>
      </w:r>
      <w:r w:rsidR="00E32AC5">
        <w:rPr>
          <w:rFonts w:ascii="Times New Roman" w:hAnsi="Times New Roman"/>
          <w:sz w:val="28"/>
          <w:szCs w:val="28"/>
        </w:rPr>
        <w:t>юсть и лопатку с левой стороны.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Обследование пациенток среднего </w:t>
      </w:r>
      <w:r w:rsidR="00122D23" w:rsidRPr="00366126">
        <w:rPr>
          <w:rFonts w:ascii="Times New Roman" w:hAnsi="Times New Roman"/>
          <w:b/>
          <w:sz w:val="28"/>
          <w:szCs w:val="28"/>
        </w:rPr>
        <w:t>возраста с</w:t>
      </w:r>
      <w:r w:rsidRPr="00366126">
        <w:rPr>
          <w:rFonts w:ascii="Times New Roman" w:hAnsi="Times New Roman"/>
          <w:b/>
          <w:sz w:val="28"/>
          <w:szCs w:val="28"/>
        </w:rPr>
        <w:t xml:space="preserve"> ССЗ</w:t>
      </w:r>
      <w:r w:rsidR="00122D23" w:rsidRPr="00366126">
        <w:rPr>
          <w:rFonts w:ascii="Times New Roman" w:hAnsi="Times New Roman"/>
          <w:b/>
          <w:sz w:val="28"/>
          <w:szCs w:val="28"/>
        </w:rPr>
        <w:t xml:space="preserve">: 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Сбор </w:t>
      </w:r>
      <w:r w:rsidR="00AA146B" w:rsidRPr="00366126">
        <w:rPr>
          <w:rFonts w:ascii="Times New Roman" w:hAnsi="Times New Roman"/>
          <w:sz w:val="28"/>
          <w:szCs w:val="28"/>
        </w:rPr>
        <w:t xml:space="preserve">жалоб, полного наследственного, гинекологического анамнеза, </w:t>
      </w:r>
      <w:r w:rsidRPr="00366126">
        <w:rPr>
          <w:rFonts w:ascii="Times New Roman" w:hAnsi="Times New Roman"/>
          <w:sz w:val="28"/>
          <w:szCs w:val="28"/>
        </w:rPr>
        <w:t xml:space="preserve">информации о </w:t>
      </w:r>
      <w:r w:rsidR="00AA146B" w:rsidRPr="00366126">
        <w:rPr>
          <w:rFonts w:ascii="Times New Roman" w:hAnsi="Times New Roman"/>
          <w:sz w:val="28"/>
          <w:szCs w:val="28"/>
        </w:rPr>
        <w:t>вредных привыч</w:t>
      </w:r>
      <w:r w:rsidRPr="00366126">
        <w:rPr>
          <w:rFonts w:ascii="Times New Roman" w:hAnsi="Times New Roman"/>
          <w:sz w:val="28"/>
          <w:szCs w:val="28"/>
        </w:rPr>
        <w:t>ках</w:t>
      </w:r>
      <w:r w:rsidR="00AA146B" w:rsidRPr="00366126">
        <w:rPr>
          <w:rFonts w:ascii="Times New Roman" w:hAnsi="Times New Roman"/>
          <w:sz w:val="28"/>
          <w:szCs w:val="28"/>
        </w:rPr>
        <w:t>, профессиональных вредност</w:t>
      </w:r>
      <w:r w:rsidRPr="00366126">
        <w:rPr>
          <w:rFonts w:ascii="Times New Roman" w:hAnsi="Times New Roman"/>
          <w:sz w:val="28"/>
          <w:szCs w:val="28"/>
        </w:rPr>
        <w:t>ях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Суточный мониторинг АД</w:t>
      </w:r>
      <w:r w:rsidR="00122D23" w:rsidRPr="00366126">
        <w:rPr>
          <w:rFonts w:ascii="Times New Roman" w:hAnsi="Times New Roman"/>
          <w:sz w:val="28"/>
          <w:szCs w:val="28"/>
        </w:rPr>
        <w:t>,</w:t>
      </w:r>
      <w:r w:rsidRPr="00366126">
        <w:rPr>
          <w:rFonts w:ascii="Times New Roman" w:hAnsi="Times New Roman"/>
          <w:sz w:val="28"/>
          <w:szCs w:val="28"/>
        </w:rPr>
        <w:t xml:space="preserve"> ЭКГ</w:t>
      </w:r>
      <w:r w:rsidR="002F663C" w:rsidRPr="00366126">
        <w:rPr>
          <w:rFonts w:ascii="Times New Roman" w:hAnsi="Times New Roman"/>
          <w:sz w:val="28"/>
          <w:szCs w:val="28"/>
        </w:rPr>
        <w:t xml:space="preserve"> (</w:t>
      </w:r>
      <w:r w:rsidRPr="00366126">
        <w:rPr>
          <w:rFonts w:ascii="Times New Roman" w:hAnsi="Times New Roman"/>
          <w:sz w:val="28"/>
          <w:szCs w:val="28"/>
        </w:rPr>
        <w:t>включая суточный мониторинг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 xml:space="preserve"> и нагрузочные пробы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Ультразвуко</w:t>
      </w:r>
      <w:r w:rsidR="002F663C" w:rsidRPr="00366126">
        <w:rPr>
          <w:rFonts w:ascii="Times New Roman" w:hAnsi="Times New Roman"/>
          <w:sz w:val="28"/>
          <w:szCs w:val="28"/>
        </w:rPr>
        <w:t>вая допплерография брахиоцефальных артерий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Исследование ф</w:t>
      </w:r>
      <w:r w:rsidR="00AA146B" w:rsidRPr="00366126">
        <w:rPr>
          <w:rFonts w:ascii="Times New Roman" w:hAnsi="Times New Roman"/>
          <w:sz w:val="28"/>
          <w:szCs w:val="28"/>
        </w:rPr>
        <w:t>ункционально</w:t>
      </w:r>
      <w:r w:rsidRPr="00366126">
        <w:rPr>
          <w:rFonts w:ascii="Times New Roman" w:hAnsi="Times New Roman"/>
          <w:sz w:val="28"/>
          <w:szCs w:val="28"/>
        </w:rPr>
        <w:t>го</w:t>
      </w:r>
      <w:r w:rsidR="00AA146B" w:rsidRPr="00366126">
        <w:rPr>
          <w:rFonts w:ascii="Times New Roman" w:hAnsi="Times New Roman"/>
          <w:sz w:val="28"/>
          <w:szCs w:val="28"/>
        </w:rPr>
        <w:t xml:space="preserve"> состояни</w:t>
      </w:r>
      <w:r w:rsidRPr="00366126">
        <w:rPr>
          <w:rFonts w:ascii="Times New Roman" w:hAnsi="Times New Roman"/>
          <w:sz w:val="28"/>
          <w:szCs w:val="28"/>
        </w:rPr>
        <w:t>я</w:t>
      </w:r>
      <w:r w:rsidR="00AA146B" w:rsidRPr="00366126">
        <w:rPr>
          <w:rFonts w:ascii="Times New Roman" w:hAnsi="Times New Roman"/>
          <w:sz w:val="28"/>
          <w:szCs w:val="28"/>
        </w:rPr>
        <w:t xml:space="preserve"> почек (фил</w:t>
      </w:r>
      <w:r w:rsidR="00122D23" w:rsidRPr="00366126">
        <w:rPr>
          <w:rFonts w:ascii="Times New Roman" w:hAnsi="Times New Roman"/>
          <w:sz w:val="28"/>
          <w:szCs w:val="28"/>
        </w:rPr>
        <w:t xml:space="preserve">ьтрационная и концентрационная </w:t>
      </w:r>
      <w:r w:rsidR="00AA146B" w:rsidRPr="00366126">
        <w:rPr>
          <w:rFonts w:ascii="Times New Roman" w:hAnsi="Times New Roman"/>
          <w:sz w:val="28"/>
          <w:szCs w:val="28"/>
        </w:rPr>
        <w:t>способности, инструментальные и радиоизотопные методы)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Диагностика </w:t>
      </w:r>
      <w:r w:rsidR="00AA146B" w:rsidRPr="00366126">
        <w:rPr>
          <w:rFonts w:ascii="Times New Roman" w:hAnsi="Times New Roman"/>
          <w:sz w:val="28"/>
          <w:szCs w:val="28"/>
        </w:rPr>
        <w:t>альбуминурии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Липидограмма;</w:t>
      </w:r>
    </w:p>
    <w:p w:rsidR="00122D23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г</w:t>
      </w:r>
      <w:r w:rsidR="00AA146B" w:rsidRPr="00366126">
        <w:rPr>
          <w:rFonts w:ascii="Times New Roman" w:hAnsi="Times New Roman"/>
          <w:sz w:val="28"/>
          <w:szCs w:val="28"/>
        </w:rPr>
        <w:t>люкоз</w:t>
      </w:r>
      <w:r w:rsidRPr="00366126">
        <w:rPr>
          <w:rFonts w:ascii="Times New Roman" w:hAnsi="Times New Roman"/>
          <w:sz w:val="28"/>
          <w:szCs w:val="28"/>
        </w:rPr>
        <w:t>ы</w:t>
      </w:r>
      <w:r w:rsidR="00AA146B" w:rsidRPr="00366126">
        <w:rPr>
          <w:rFonts w:ascii="Times New Roman" w:hAnsi="Times New Roman"/>
          <w:sz w:val="28"/>
          <w:szCs w:val="28"/>
        </w:rPr>
        <w:t xml:space="preserve"> натощак, глик</w:t>
      </w:r>
      <w:r w:rsidRPr="00366126">
        <w:rPr>
          <w:rFonts w:ascii="Times New Roman" w:hAnsi="Times New Roman"/>
          <w:sz w:val="28"/>
          <w:szCs w:val="28"/>
        </w:rPr>
        <w:t xml:space="preserve">ированного </w:t>
      </w:r>
      <w:r w:rsidR="00AA146B" w:rsidRPr="00366126">
        <w:rPr>
          <w:rFonts w:ascii="Times New Roman" w:hAnsi="Times New Roman"/>
          <w:sz w:val="28"/>
          <w:szCs w:val="28"/>
        </w:rPr>
        <w:t>гемоглобин</w:t>
      </w:r>
      <w:r w:rsidRPr="00366126">
        <w:rPr>
          <w:rFonts w:ascii="Times New Roman" w:hAnsi="Times New Roman"/>
          <w:sz w:val="28"/>
          <w:szCs w:val="28"/>
        </w:rPr>
        <w:t>а;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электролитов крови;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Оценка ИМТ, окружности талии, соотношение </w:t>
      </w:r>
      <w:r w:rsidR="002F663C" w:rsidRPr="00366126">
        <w:rPr>
          <w:rFonts w:ascii="Times New Roman" w:hAnsi="Times New Roman"/>
          <w:sz w:val="28"/>
          <w:szCs w:val="28"/>
        </w:rPr>
        <w:t>окружности талии и бедер;</w:t>
      </w:r>
    </w:p>
    <w:p w:rsidR="002F663C" w:rsidRPr="00E32AC5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Гормональное исследование (</w:t>
      </w:r>
      <w:r w:rsidR="00544F0B" w:rsidRPr="00366126">
        <w:rPr>
          <w:rFonts w:ascii="Times New Roman" w:hAnsi="Times New Roman"/>
          <w:sz w:val="28"/>
          <w:szCs w:val="28"/>
        </w:rPr>
        <w:t>тиреотропный гормон (</w:t>
      </w:r>
      <w:r w:rsidRPr="00366126">
        <w:rPr>
          <w:rFonts w:ascii="Times New Roman" w:hAnsi="Times New Roman"/>
          <w:sz w:val="28"/>
          <w:szCs w:val="28"/>
        </w:rPr>
        <w:t>ТТГ</w:t>
      </w:r>
      <w:r w:rsidR="00544F0B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>, паратиреоидный гормон</w:t>
      </w:r>
      <w:r w:rsidR="00544F0B" w:rsidRPr="00366126">
        <w:rPr>
          <w:rFonts w:ascii="Times New Roman" w:hAnsi="Times New Roman"/>
          <w:sz w:val="28"/>
          <w:szCs w:val="28"/>
        </w:rPr>
        <w:t xml:space="preserve"> (ПТГ)</w:t>
      </w:r>
      <w:r w:rsidRPr="00366126">
        <w:rPr>
          <w:rFonts w:ascii="Times New Roman" w:hAnsi="Times New Roman"/>
          <w:sz w:val="28"/>
          <w:szCs w:val="28"/>
        </w:rPr>
        <w:t xml:space="preserve">, </w:t>
      </w:r>
      <w:r w:rsidR="00AA146B" w:rsidRPr="00366126">
        <w:rPr>
          <w:rFonts w:ascii="Times New Roman" w:hAnsi="Times New Roman"/>
          <w:sz w:val="28"/>
          <w:szCs w:val="28"/>
        </w:rPr>
        <w:t xml:space="preserve">гормоны надпочечников, </w:t>
      </w:r>
      <w:r w:rsidRPr="00366126">
        <w:rPr>
          <w:rFonts w:ascii="Times New Roman" w:hAnsi="Times New Roman"/>
          <w:sz w:val="28"/>
          <w:szCs w:val="28"/>
        </w:rPr>
        <w:t xml:space="preserve">общий и </w:t>
      </w:r>
      <w:r w:rsidR="00AA146B" w:rsidRPr="00366126">
        <w:rPr>
          <w:rFonts w:ascii="Times New Roman" w:hAnsi="Times New Roman"/>
          <w:sz w:val="28"/>
          <w:szCs w:val="28"/>
        </w:rPr>
        <w:t xml:space="preserve">свободный тестостерон, </w:t>
      </w:r>
      <w:proofErr w:type="spellStart"/>
      <w:r w:rsidR="00AA146B" w:rsidRPr="00366126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, прогестерон, ФСГ, ЛГ и т.д.) </w:t>
      </w:r>
      <w:r w:rsidR="00E32AC5">
        <w:rPr>
          <w:rFonts w:ascii="Times New Roman" w:hAnsi="Times New Roman"/>
          <w:sz w:val="28"/>
          <w:szCs w:val="28"/>
          <w:lang w:val="en-US"/>
        </w:rPr>
        <w:t>[</w:t>
      </w:r>
      <w:r w:rsidR="00122D23" w:rsidRPr="00366126">
        <w:rPr>
          <w:rFonts w:ascii="Times New Roman" w:hAnsi="Times New Roman"/>
          <w:sz w:val="28"/>
          <w:szCs w:val="28"/>
        </w:rPr>
        <w:t>3,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4,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8</w:t>
      </w:r>
      <w:r w:rsidR="00E32AC5">
        <w:rPr>
          <w:rFonts w:ascii="Times New Roman" w:hAnsi="Times New Roman"/>
          <w:sz w:val="28"/>
          <w:szCs w:val="28"/>
          <w:lang w:val="en-US"/>
        </w:rPr>
        <w:t>]</w:t>
      </w:r>
      <w:r w:rsidR="00122D23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Медикаментозное лечение</w:t>
      </w:r>
      <w:r w:rsidR="002F663C" w:rsidRPr="00366126">
        <w:rPr>
          <w:rFonts w:ascii="Times New Roman" w:hAnsi="Times New Roman"/>
          <w:b/>
          <w:sz w:val="28"/>
          <w:szCs w:val="28"/>
        </w:rPr>
        <w:t xml:space="preserve">: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МГТ (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366126">
        <w:rPr>
          <w:rFonts w:ascii="Times New Roman" w:hAnsi="Times New Roman"/>
          <w:sz w:val="28"/>
          <w:szCs w:val="28"/>
        </w:rPr>
        <w:t xml:space="preserve"> эстрогены влияют на сердечно-сосудистую систему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2F663C" w:rsidRPr="00366126">
        <w:rPr>
          <w:rFonts w:ascii="Times New Roman" w:hAnsi="Times New Roman"/>
          <w:sz w:val="28"/>
          <w:szCs w:val="28"/>
        </w:rPr>
        <w:t>3, 4, 8, 10,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: 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МГТ, начатая в возрасте до 60 </w:t>
      </w:r>
      <w:r w:rsidR="002F663C" w:rsidRPr="00366126">
        <w:rPr>
          <w:rFonts w:ascii="Times New Roman" w:hAnsi="Times New Roman"/>
          <w:sz w:val="28"/>
          <w:szCs w:val="28"/>
        </w:rPr>
        <w:t>лет, достоверно снижает</w:t>
      </w:r>
      <w:r w:rsidRPr="00366126">
        <w:rPr>
          <w:rFonts w:ascii="Times New Roman" w:hAnsi="Times New Roman"/>
          <w:sz w:val="28"/>
          <w:szCs w:val="28"/>
        </w:rPr>
        <w:t xml:space="preserve"> риск общей смертности, в отличие от </w:t>
      </w:r>
      <w:r w:rsidR="002F663C" w:rsidRPr="00366126">
        <w:rPr>
          <w:rFonts w:ascii="Times New Roman" w:hAnsi="Times New Roman"/>
          <w:sz w:val="28"/>
          <w:szCs w:val="28"/>
        </w:rPr>
        <w:t>специфической терапии</w:t>
      </w:r>
      <w:r w:rsidRPr="00366126">
        <w:rPr>
          <w:rFonts w:ascii="Times New Roman" w:hAnsi="Times New Roman"/>
          <w:sz w:val="28"/>
          <w:szCs w:val="28"/>
        </w:rPr>
        <w:t xml:space="preserve"> сердечно-</w:t>
      </w:r>
      <w:r w:rsidR="002F663C" w:rsidRPr="00366126">
        <w:rPr>
          <w:rFonts w:ascii="Times New Roman" w:hAnsi="Times New Roman"/>
          <w:sz w:val="28"/>
          <w:szCs w:val="28"/>
        </w:rPr>
        <w:t>сосудистых заболеваний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r w:rsidR="002F663C" w:rsidRPr="00366126">
        <w:rPr>
          <w:rFonts w:ascii="Times New Roman" w:hAnsi="Times New Roman"/>
          <w:sz w:val="28"/>
          <w:szCs w:val="28"/>
        </w:rPr>
        <w:t>Эстрогены замедляют</w:t>
      </w:r>
      <w:r w:rsidRPr="00366126">
        <w:rPr>
          <w:rFonts w:ascii="Times New Roman" w:hAnsi="Times New Roman"/>
          <w:sz w:val="28"/>
          <w:szCs w:val="28"/>
        </w:rPr>
        <w:t xml:space="preserve"> развитие гипертрофии мышечного слоя коронарных артерий, способствуют биосинтезу и активности оксида азота, ограничивают влияние на эндотелий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белков и цитокинов, участвуют в контроле сосудистого тонуса, благоприятно влияют на липидный </w:t>
      </w:r>
      <w:r w:rsidRPr="00366126">
        <w:rPr>
          <w:rFonts w:ascii="Times New Roman" w:hAnsi="Times New Roman"/>
          <w:sz w:val="28"/>
          <w:szCs w:val="28"/>
        </w:rPr>
        <w:lastRenderedPageBreak/>
        <w:t xml:space="preserve">спектр, замедляют процессы атеросклероза, способствуют сосудистому </w:t>
      </w:r>
      <w:proofErr w:type="spellStart"/>
      <w:r w:rsidRPr="00366126">
        <w:rPr>
          <w:rFonts w:ascii="Times New Roman" w:hAnsi="Times New Roman"/>
          <w:sz w:val="28"/>
          <w:szCs w:val="28"/>
        </w:rPr>
        <w:t>ремоделированию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и эластичности (авторов посмотреть), снижают уровень </w:t>
      </w:r>
      <w:proofErr w:type="spellStart"/>
      <w:r w:rsidRPr="00366126">
        <w:rPr>
          <w:rFonts w:ascii="Times New Roman" w:hAnsi="Times New Roman"/>
          <w:sz w:val="28"/>
          <w:szCs w:val="28"/>
        </w:rPr>
        <w:t>оксидативного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стресса, нормализуя состояние митохондрий клеток. </w:t>
      </w:r>
      <w:proofErr w:type="spellStart"/>
      <w:r w:rsidRPr="00366126">
        <w:rPr>
          <w:rFonts w:ascii="Times New Roman" w:hAnsi="Times New Roman"/>
          <w:sz w:val="28"/>
          <w:szCs w:val="28"/>
        </w:rPr>
        <w:t>Низкодозированная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МГТ оказывает такой же эффект на </w:t>
      </w:r>
      <w:r w:rsidR="00E32AC5">
        <w:rPr>
          <w:rFonts w:ascii="Times New Roman" w:hAnsi="Times New Roman"/>
          <w:sz w:val="28"/>
          <w:szCs w:val="28"/>
        </w:rPr>
        <w:t xml:space="preserve">липидный спектр, как и </w:t>
      </w:r>
      <w:proofErr w:type="spellStart"/>
      <w:r w:rsidR="00E32AC5">
        <w:rPr>
          <w:rFonts w:ascii="Times New Roman" w:hAnsi="Times New Roman"/>
          <w:sz w:val="28"/>
          <w:szCs w:val="28"/>
        </w:rPr>
        <w:t>статины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4, 11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МГТ способствует улучшению профиля сердечно-сосудистого риска, благодаря своему положительному влиянию на сосудистую функцию, уровни липидов и метаболизм глюкозы; снижает частоту вновь диагностированного сахарного диабета.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Терапия эстрогенами оказывает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кардиопротективное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действие (значимое уменьшение ИБС и смертности на 12-54%), если она начата в период, близкий ко времени наступления менопаузы (часто называемый «окном возможностей» или гипотезой «выбора времени»)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МГТ у женщин старше 60 лет или у тех, кто более 10 лет находится в постменопаузе, может быть связано с повышен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риском коронарных событий.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 пациенток, не получавших МГТ, чаще регистрировались артериальная гипертензия (64%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47%), ИБС (20%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12%), СД (11%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8%), сердечно-сосудистые события (89% </w:t>
      </w:r>
      <w:r w:rsidRPr="00366126">
        <w:rPr>
          <w:rFonts w:ascii="Times New Roman" w:hAnsi="Times New Roman"/>
          <w:i/>
          <w:sz w:val="28"/>
          <w:szCs w:val="28"/>
          <w:lang w:val="en-US"/>
        </w:rPr>
        <w:t>vs</w:t>
      </w:r>
      <w:r w:rsidR="002F663C"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sz w:val="28"/>
          <w:szCs w:val="28"/>
        </w:rPr>
        <w:t>121%)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Восстановление баланса электролитов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2F663C" w:rsidRPr="00E32AC5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Лечение/коррекция нейровегетативных </w:t>
      </w:r>
      <w:r w:rsidR="002F663C" w:rsidRPr="00366126">
        <w:rPr>
          <w:rFonts w:ascii="Times New Roman" w:hAnsi="Times New Roman"/>
          <w:sz w:val="28"/>
          <w:szCs w:val="28"/>
        </w:rPr>
        <w:t>и психо-эмоциональных нарушений.</w:t>
      </w:r>
    </w:p>
    <w:p w:rsidR="002F663C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Необходимо отметить, что ме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 первичной профилактики, эффективные у мужчин, а именно, применение аспирина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статинов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оказывают защитного влияния в отношении коронарного заболевания, сердечно-сосудистой смертности и общей смертности у женщин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1, 2, 8, 11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Выделяют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и модифицируемые факторы риска возникновения сердечно-сосудистых заболеваний: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факторы риска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Возраст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>Время менопаузы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Наследственный фактор</w:t>
      </w:r>
    </w:p>
    <w:p w:rsidR="002F663C" w:rsidRPr="00E32AC5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Артериальная г</w:t>
      </w:r>
      <w:r w:rsidR="002F663C" w:rsidRPr="00366126">
        <w:rPr>
          <w:rFonts w:ascii="Times New Roman" w:hAnsi="Times New Roman"/>
          <w:sz w:val="28"/>
          <w:szCs w:val="28"/>
        </w:rPr>
        <w:t>ипертония</w:t>
      </w:r>
      <w:r w:rsidRPr="00366126">
        <w:rPr>
          <w:rFonts w:ascii="Times New Roman" w:hAnsi="Times New Roman"/>
          <w:sz w:val="28"/>
          <w:szCs w:val="28"/>
        </w:rPr>
        <w:t xml:space="preserve"> и задержка жидкости во время беременности</w:t>
      </w:r>
    </w:p>
    <w:p w:rsidR="00AA146B" w:rsidRPr="00366126" w:rsidRDefault="00AA146B" w:rsidP="00E32AC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Модифицируемые факторы риска: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Курение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Лишний вес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Сидячий образ жизни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Неправильное питание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Контроль показателей артериального давления, глюкозы крови, веса 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Отказ от МГТ</w:t>
      </w:r>
    </w:p>
    <w:p w:rsidR="00AA146B" w:rsidRPr="009724D7" w:rsidRDefault="00AA146B" w:rsidP="00E32A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792F6B" w:rsidRPr="009724D7" w:rsidRDefault="002F663C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6126">
        <w:rPr>
          <w:rFonts w:ascii="Times New Roman" w:hAnsi="Times New Roman"/>
          <w:b/>
          <w:sz w:val="28"/>
          <w:szCs w:val="28"/>
        </w:rPr>
        <w:t>ОСТЕОПОРОЗ У ЖЕНЩИН СТАРШЕ 40 ЛЕТ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 - системное заболевание скелета, характеризующееся снижением прочности костей с риском возникновения перелома при падении с высоты собственного роста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перелома). </w:t>
      </w:r>
    </w:p>
    <w:p w:rsidR="00792F6B" w:rsidRPr="00366126" w:rsidRDefault="00792F6B" w:rsidP="00E32AC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66126">
        <w:rPr>
          <w:sz w:val="28"/>
          <w:szCs w:val="28"/>
        </w:rPr>
        <w:t>Перелом бедра у людей старше 65 лет является высоким фактором риска смерти (20% в год после перелома), более половины больных никогда не возвращается к их первоначальному функциональному состоянию. Финансовые затраты, связанные с остеопорозом, превышают 10 млрд</w:t>
      </w:r>
      <w:r w:rsidR="00A610D4">
        <w:rPr>
          <w:sz w:val="28"/>
          <w:szCs w:val="28"/>
        </w:rPr>
        <w:t>.</w:t>
      </w:r>
      <w:r w:rsidRPr="00366126">
        <w:rPr>
          <w:sz w:val="28"/>
          <w:szCs w:val="28"/>
        </w:rPr>
        <w:t xml:space="preserve"> долл. ежегодно. Медицинские и социально-экономические потери настолько велики, что ВОЗ ставит проблему остеопороза на четвертое место после сердечно-сосудистых, онкологических з</w:t>
      </w:r>
      <w:r w:rsidR="009724D7">
        <w:rPr>
          <w:sz w:val="28"/>
          <w:szCs w:val="28"/>
        </w:rPr>
        <w:t xml:space="preserve">аболеваний и сахарного диабета </w:t>
      </w:r>
      <w:r w:rsidR="009724D7" w:rsidRPr="009724D7">
        <w:rPr>
          <w:sz w:val="28"/>
          <w:szCs w:val="28"/>
        </w:rPr>
        <w:t>[</w:t>
      </w:r>
      <w:r w:rsidR="009724D7">
        <w:rPr>
          <w:sz w:val="28"/>
          <w:szCs w:val="28"/>
        </w:rPr>
        <w:t>3, 4, 29, 30</w:t>
      </w:r>
      <w:r w:rsidR="009724D7" w:rsidRPr="009724D7">
        <w:rPr>
          <w:sz w:val="28"/>
          <w:szCs w:val="28"/>
        </w:rPr>
        <w:t>]</w:t>
      </w:r>
      <w:r w:rsidRPr="00366126">
        <w:rPr>
          <w:sz w:val="28"/>
          <w:szCs w:val="28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Прочность костей определяется сочетанием плотности костной ткани и микроархитектурной целостности. Возникновение постменопаузального остеопороза связано с отсутствием достижения пиковой плотности костной ткани, ускоренной потерей костной массы после наступления менопаузы, возрастной потерей костной массы или комбинацией факторов. Ускоренное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костной массы в постменопаузе связано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недостаточностью эстрогенов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3, 4, 31, 32, 33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Хотя здоровье скелета зависит от генетической предрасположенности, оно может меняться под влиянием таких факторов образа жизни, как диета, физические упражнения с нагрузкой, а также предотвращение воздействи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я токсичных для костей веществ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1, 3, 4, 34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4D7">
        <w:rPr>
          <w:rFonts w:ascii="Times New Roman" w:hAnsi="Times New Roman"/>
          <w:sz w:val="28"/>
          <w:szCs w:val="28"/>
        </w:rPr>
        <w:t>200 млн</w:t>
      </w:r>
      <w:r w:rsidR="00A610D4">
        <w:rPr>
          <w:rFonts w:ascii="Times New Roman" w:hAnsi="Times New Roman"/>
          <w:sz w:val="28"/>
          <w:szCs w:val="28"/>
        </w:rPr>
        <w:t>.</w:t>
      </w:r>
      <w:r w:rsidR="009724D7">
        <w:rPr>
          <w:rFonts w:ascii="Times New Roman" w:hAnsi="Times New Roman"/>
          <w:sz w:val="28"/>
          <w:szCs w:val="28"/>
        </w:rPr>
        <w:t xml:space="preserve"> человек в мире </w:t>
      </w:r>
      <w:r w:rsidRPr="00366126">
        <w:rPr>
          <w:rFonts w:ascii="Times New Roman" w:hAnsi="Times New Roman"/>
          <w:sz w:val="28"/>
          <w:szCs w:val="28"/>
        </w:rPr>
        <w:t>и 14 млн</w:t>
      </w:r>
      <w:r w:rsidR="00A610D4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человек в России болеют остеопорозом, остеопороз поражает каждую третью женщину и каждого четвертого мужчину в </w:t>
      </w:r>
      <w:r w:rsidR="002F663C" w:rsidRPr="00366126">
        <w:rPr>
          <w:rFonts w:ascii="Times New Roman" w:hAnsi="Times New Roman"/>
          <w:sz w:val="28"/>
          <w:szCs w:val="28"/>
        </w:rPr>
        <w:t>возрасте 40</w:t>
      </w:r>
      <w:r w:rsidR="009724D7">
        <w:rPr>
          <w:rFonts w:ascii="Times New Roman" w:hAnsi="Times New Roman"/>
          <w:sz w:val="28"/>
          <w:szCs w:val="28"/>
        </w:rPr>
        <w:t xml:space="preserve"> лет </w:t>
      </w:r>
      <w:r w:rsidR="009724D7" w:rsidRPr="009724D7">
        <w:rPr>
          <w:rFonts w:ascii="Times New Roman" w:hAnsi="Times New Roman"/>
          <w:sz w:val="28"/>
          <w:szCs w:val="28"/>
        </w:rPr>
        <w:t>[</w:t>
      </w:r>
      <w:r w:rsidR="009724D7">
        <w:rPr>
          <w:rFonts w:ascii="Times New Roman" w:hAnsi="Times New Roman"/>
          <w:sz w:val="28"/>
          <w:szCs w:val="28"/>
        </w:rPr>
        <w:t>35, 36</w:t>
      </w:r>
      <w:r w:rsidR="009724D7" w:rsidRPr="009724D7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Остеопороз – серьезное </w:t>
      </w:r>
      <w:proofErr w:type="spellStart"/>
      <w:r w:rsidRPr="00366126">
        <w:rPr>
          <w:rFonts w:ascii="Times New Roman" w:hAnsi="Times New Roman"/>
          <w:sz w:val="28"/>
          <w:szCs w:val="28"/>
        </w:rPr>
        <w:t>инвалидизирующее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заболевание, представляющее собой значительную проблему для работников здравоохранения во всем мире (Международная организация по борьбе с остеопорозом)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остеопороза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Кальций и фосфор в совокупности образуют минеральную основу скелета. В большинстве случаев причина остеопороза — нарушение к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альциевого и фосфорного обмена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3, 4, 7, 34, 35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Наиболее важным звеном в обеспечении организма кальцием является достаточная абсорбция его в кишечнике, которая возможна при наличии как минимум трех обязательных условий: достаточного содержания кальция в пищевом рационе; обеспеченности организма витамином D, в т. ч. его активными метаболитами; отсутствия заболеваний желудочно-кишечного тракта с нарушением всасывания. При недостатке кальция в организме последний извлекается из собственной костной ткани. В результате костная масса уменьшается, и кости становятся хрупкими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0E3D8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4D7" w:rsidRPr="000E3D8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Факторов развития остеопороза достаточно много. Деление на первичный и вторичный остеопороз относительно. К первичному относят постменопаузальный, сенильный (старческий), а также идиопатический остеопороз. К вторичному остеопорозу относят снижение массы костной ткани в результате генетических нарушений, некоторых заболеваний эндокринной системы, ревматических, органов кровообращения, почек,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чрезмерного приема алкоголя, длительной иммобилизации, приема лекарственных препаратов, прежде всего кортикостероидов, иммунодепрессантов, в результате психических расстройств (нервной анорексии), а также недостаточного поступления с пищей или нарушения всасывания в кишечнике определенных нутриентов, прежде всего кальция и витамина D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3, 4, 5, 36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4D7" w:rsidRPr="00A610D4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белковой недостаточности как самостоятельного фактора дискутируется. Наиболее частыми причинами развития остеопороза являются нарушения потребления определенных нутриентов с продуктами, постменопаузальный период, сенильный синдром, патологические расстройства обменных процессов в результате приема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глюкокортикостероидов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а также чрезмерного количества алкоголя.</w:t>
      </w:r>
    </w:p>
    <w:p w:rsidR="009724D7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Постменопаузальный остеопороз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патогенезе постменопаузального ОП ведущим фактором является дефицит половых гормонов, что приводит к ускорению процессов костного метаболизма с нарушением равновесия в сторону костной резорбции 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29, 38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92202C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Половые гормоны влияют на костную ткань посредством связывания со специфическими рецепторами на остеобластах, и губчатое вещество костной ткани является своеобразным органом-мишенью для половых гормонов. </w:t>
      </w:r>
      <w:r w:rsidRPr="00366126">
        <w:rPr>
          <w:rFonts w:ascii="Times New Roman" w:hAnsi="Times New Roman"/>
          <w:color w:val="000000"/>
          <w:sz w:val="28"/>
          <w:szCs w:val="28"/>
        </w:rPr>
        <w:br/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Переломы бедра обуславливают наибольшую долю связанной с остеопорозом финансовой нагрузки на систему здравоохранения, но другие переломы, связанные с остеопорозом, особенно переломы позвонков, являются значимой причиной заболеваемости</w:t>
      </w:r>
      <w:r w:rsidR="0092202C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keepNext/>
        <w:keepLines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Диагностика и оценка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основывается на оценке минеральной плотности костной ткани (МПК) с помощью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двухэнергетической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рентгеновской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абсорбциометрии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(ДЭРА). Полученный показатель сравнивается с пиковой плотностью костной ткани и выражается в виде Т-критерия. Под остеопорозом понимают значение Т-критерия </w:t>
      </w:r>
      <w:r w:rsidRPr="00366126"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  <w:t>&lt;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-2,5, или наличие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низкотравматичных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переломов. Оценка МПК - наилучший метод для селективного применения,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основанного на возрасте и других факторах: личный или семейный анамнез переломов, наличие в анамнезе аменореи, первичная недостаточность яичников, низкая масса, нарушение диеты, курение, злоупотребление алкоголем, применение токсичных препаратов и ревматоидный артрит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1, 3, 29, 39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10-летняя вероятность переломов оценивается с помощью модели FRAX</w:t>
      </w:r>
      <w:r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®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(ВОЗ), которая интегрирует различные факторы риска возникновения переломов, согласно которой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высокая чувствительность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у более пожилых женщин, чем у женщин в ранней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постменомаузе</w:t>
      </w:r>
      <w:proofErr w:type="spellEnd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92F6B" w:rsidP="009724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_Hlk520051564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терапии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проводится только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bookmarkEnd w:id="1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адекватной оценки перенесенных переломов и вторичных причин остеопороза.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Лечение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лечения остеопороза - профилактика переломов.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терапии основывается на балансе эффективности, риска и затрат.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проводится у всех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остеопоротическими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переломами, или значением T-критерия ≤ -2,5 (остеопороз), либо если T-критерий &lt; -1,0 &gt; -2,5 (остеопения) и имеются дополнительные факторы риска. </w:t>
      </w:r>
    </w:p>
    <w:p w:rsidR="00792F6B" w:rsidRPr="009724D7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Мониторинг лечения путем проведения серии ДЭРА необходимо интерпретировать с осторожностью и принимать во внимание область обследования, временной интервал, специфические для данного препарата ожидания и значение наименьшего значимого изменения, рассчитанного для конкретного устройства и оператора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>4, 40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</w:t>
      </w:r>
      <w:r w:rsidR="007B7C11"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>лечения</w:t>
      </w:r>
    </w:p>
    <w:p w:rsidR="00792F6B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Менопаузальная гормональная терапия</w:t>
      </w:r>
      <w:r w:rsidR="009724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снижает частоту возникновения всех видов переломов, включая переломы позвонков и бедра, даже у женщин, не имеющих высокого риска переломов.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- единственный вид терапии с доказанной эффективностью в отношении снижения частоты переломов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МГТ является наиболее подходящим видом терапии для профилактики переломов в ранней постменопаузе.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МГТ предотвращает переломы в любом возрасте после наступления менопаузы, важен возраст начала МГТ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1, 3,4, 41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Желательно начинать МГТ в возрасте 50-60 лет, или не позже 10 лет после наступления менопаузы, тогда преимущества МГТ с наибольшей вероятность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ю перевешивают какой-либо риск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может рассматриваться в качестве терапии первой линии. Начало МГТ в возрасте 60-70 лет требует индивидуальной оценки соотношения преимуществ и рисков, рассмотрения возможности применения других имеющихся препаратов и наименьшей эффективной дозы.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 следует начинать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МГТ у пациенток с остеопорозом старше 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70 лет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обязательные ограничения продолжительности применения МГТ при условии, что она соответствует целям лечения.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Протективное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МГТ на МПК уменьшается после отмены терапии с непредсказуемой скоростью, хотя в некоторой степени защита от переломов может сохраняться после отмены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ГТ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B7C11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92F6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продолжении МГТ с единственной целью - профилактика переломов - следует принимать во внимание риск переломов и другие возможные отдаленные риски.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Кальций и витамин D в лечении остеопороза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 xml:space="preserve">Специальные исследования показали, что женщины всех возрастных групп потребляют с пищей значительно меньше кальция, чем рекомендуется: менее 15% женщин в возрасте до 50 лет и менее 5% в возрасте до 70 лет потребляют продукты с необходимым количеством кальция, в то же </w:t>
      </w:r>
      <w:r w:rsidR="007B7C11" w:rsidRPr="00366126">
        <w:rPr>
          <w:rFonts w:ascii="Times New Roman" w:hAnsi="Times New Roman"/>
          <w:sz w:val="28"/>
          <w:szCs w:val="28"/>
        </w:rPr>
        <w:t xml:space="preserve">время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потребление диетического кальция (но не его добавок), снижает риск ССЗ, переломов и смертности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3, 4, 8, 43, 44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женщинами диетического кальция и его добавок, не превышающих допустимых верхних уровней общего потребления (2000 мг), независимо от приема витамина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не является фактором рис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ка ССЗ у 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здоровых взрослых лиц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3,4, 8, 44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Высокое общее потребление кальция женщинами в возрасте от 45 до 84 лет коррелирует со снижением риска инцидентов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кальцификации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артерий (САС), если оно достигается без приема добавок, тогда как прием добавок кальция коррелирует с повышением риска инцидентов САС на 22% после корректировки с показателями полного его потребления. Следует ограничить прием препаратов кальция диетическим потреблением кальция, поскольку рутинное применение препаратов кальция не оправдано с точки зрения эффективности, безопасности и экономики здравоохранения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3, 4, 4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5, 48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Для женщин в постменопаузе рекомендуемое потребление с пищей (РПП) элементарного кальция составляет 1200 мг/день, что желательно получать с богатой кальцием диетой. При невозможности достижения рекомендованных диетических норм, применяют добавки кальция – 500 мг/день (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129)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 Избыточный прием препаратов кальция может способствовать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кальциурии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гиперкальцемии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повышению сердечно-сосудистого риска, образованию камней в почках, отложению кальция в артериях и развитию запора</w:t>
      </w:r>
      <w:r w:rsidR="00217BF4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B7C11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Наряду с препаратами кальция при лечении остеопороза необходимо включать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препараты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витамина D.  В присутствии достаточного количества кальция витамин D способен активировать абсорбцию его в кишечнике на 70–80% и обеспечивать минерализацию скелета.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b/>
          <w:i/>
          <w:iCs/>
          <w:color w:val="000000"/>
          <w:sz w:val="28"/>
          <w:szCs w:val="28"/>
        </w:rPr>
        <w:t>Витамин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это группа стероидных гормонов, которые образуются в организме на основе поступающих с пищевыми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продуктами витаминов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D2 и D3 и синтезирующегося в коже под действием ультрафиолетовых лучей витамина D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29, 53, 54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Витамин D - важный регулятор костного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обмена, который ассоциируется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развитием ССЗ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онкологических заболеваний, сахарным диабетом, рассеянным склерозом и др.  Одной из основных причин мирового дефицита витамина D является недостаточное воздействие солнечного излучения. В северных широтах синтез витамина D в коже может быть ограничен полугодом. Также немаловажно, что у пожилых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 имеется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возрастное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снижение способности кожи продуцировать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то, что абсорбция его в кишечнике с возрастом снижается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1, 3, 4, 7, 8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Постменопауза и возрастной дефицит эстрогенов также влияют на усвоение витамина D.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Длительно существующие низкие уровни витамина D могут приводить к недостаточной абсорбции кальция в кишечнике, в результате чего развивается вторичный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гиперпаратиреоз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повышением мобилизации кальция из костей, развитием остеопороза, в ряде случаев – в сочетании с остеомаляцией. Витамин D поддерживает формирование и обменные процессы в мышечной ткани, особенно на уровне быстрых мышечных волокон (имеется повышенный риск падений у лиц с дефицитом этого витамина).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Назначение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кальцием приводит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увеличению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мышечной силы и координации движений и снижает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частоту переломов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падения у пожилых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4, 8, 29, 30, 36,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Полное восполнение дефицита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 пищевыми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продуктами не всегда представляется возможным, т. к. он содержится в основном в жирной рыбе (сельдь, скумбрия, лосось), в рыбьем жире,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 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жире водных млекопитающих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4, 8, 29, 43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Профилактика дефицита витамина D рекомендуется с применением активных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метаболитов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D: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(D3)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эргокальциферола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(D2). В лечебных же программах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дефицит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 восполняется только препаратом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рекомендован у пожилых пациентов с высоким риском падений как монотерапия или в комбинации с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антирезорбтивной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терапией. Суточная доза витамина D должна составлять не менее 800 МЕ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Комбинация кальция с витамином D снижает на 12% (p=0,025) риск всех переломов, на 26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–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 переломов бедра (p=0,005)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44F0B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поддержания достаточного для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здоровья костной ткани уровня 25 (ОН)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– 25-гидрокисивитамина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) более 74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нмоль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/л (30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/мл) показатель для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составляет 800-1000 МЕ/день)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43).</w:t>
      </w:r>
      <w:r w:rsidRPr="0036612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Типичные ошибки в питании пациентов с остеопорозом: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кальция в рационе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избыточное количество пищевых волокон, фитиновой и щавелевой кислоты, которые ухудшают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белков в рационе, приводящий к отрицательному азотистому балансу и снижению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репаративных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белков в рационе, что способствует повышенному выведению кальция с мочой (на каждые 50 г белка сверх нормы с мочой теряется 60 мг кальция)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углеводов в рационе, также приводящий к повышенной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фосфора в рационе, ухудшающий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алкоголем и напитками с высоким содержанием кофеина (кофе, крепким чаем, колой, шоколадом), что увеличивает потерю кальция с мочой и фекалиями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натрия, приводящее к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избыточная (реже – недостаточная) энергетическая ценность рациона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дефицит витамина D в рационе и недостаточная инсоляция, необходимая для эндогенного синтеза витамина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недостаток жиров в рационе, который ведет к нарушению усвоения всех жирорастворимых витаминов, в том числе и витамина D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>Все больные с остеопорозом, не отягощенные заболеваниями, требующими специальной диетотерапии, должны получать рациональное сбалансированное питание с физиологическим содержанием белка в пищевом рационе, но с повышенным содержанием кальция и витамина D, в том числе и за счет специальных пищевых добавок и лекарственных препаратов</w:t>
      </w:r>
      <w:r w:rsidR="00E837FC">
        <w:rPr>
          <w:rFonts w:ascii="Times New Roman" w:hAnsi="Times New Roman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sz w:val="28"/>
          <w:szCs w:val="28"/>
        </w:rPr>
        <w:t>[</w:t>
      </w:r>
      <w:r w:rsidR="00E837FC">
        <w:rPr>
          <w:rFonts w:ascii="Times New Roman" w:hAnsi="Times New Roman"/>
          <w:sz w:val="28"/>
          <w:szCs w:val="28"/>
        </w:rPr>
        <w:t>56, 57, 58, 59, 60</w:t>
      </w:r>
      <w:r w:rsidR="00E837FC" w:rsidRPr="00E837FC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 xml:space="preserve">Поскольку остеопороз обычно успевает развиться до клинически развернутой стадии, прежде чем его эффекты становятся явными, профилактика потери костной массы является единственным наилучшим </w:t>
      </w:r>
      <w:r w:rsidRPr="00366126">
        <w:rPr>
          <w:rFonts w:ascii="Times New Roman" w:hAnsi="Times New Roman"/>
          <w:sz w:val="28"/>
          <w:szCs w:val="28"/>
        </w:rPr>
        <w:lastRenderedPageBreak/>
        <w:t xml:space="preserve">способом избежать возможности переломов и возникающей в результате инвалидности. 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Остепороз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хроническое заболевание, требующее длительного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лечения, основной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целью которого является нормализация процессов костного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ремоделирования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приводящая к   подавлению костной резорбции и стимуляции костеобразования,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способствующего снижению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частоты переломов и улучшению качества жизни у пациенток в пре- и постменопаузе.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Костный обмен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характеризуется сопряженностью, и при уменьшении костного разрушения снижается и костеобразование, а при увеличении костеобразования постепенно увеличивается костная резорбция. Это достигается посредством применения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профилактических 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выше) и фармакологических методов (патогенетическая терапия). 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Патогенетическая терапия остеопороза включает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антирезобтивные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препараты, подавляющие костную резорбцию, действующие на остеокласт (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селективные модуляторы эстрогенных рецепторов, эстрогены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 усиливающие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костеобразование (фториды, анаболические стероиды, андрогены), а также лекарственные средства, оказывающие многостороннее действие на костную ткань (соли кальция, витамин D и его активные метаболиты и др.)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3, 4, 8, 29, 43, 51, 55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D2B2D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61, 65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E37BDE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наиболее широко используемыми препаратами первой линии терапии постменопаузального остеопороза являются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азотсодержащие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Механизмы действия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бисфосфонатов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существенно различаются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3, 4, 8, 62, 63, 64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ризедронат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золедроновая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кислота) -  мощные ингибиторы резорбции кости с доказанной эффективностью в отношении профилактики переломов позвонков и бедра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E837FC" w:rsidRDefault="00792F6B" w:rsidP="00E837FC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существенные проблемы безопасности: выявлена взаимосвязь между атипичным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диафизарным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переломом бедренной кости и чрезмерной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супрессией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костного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ремоделирования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3-5 лет. Перерыв в применении препарата может быть рассмотрен через 3 года внутривенного введения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или 5 лет перорального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МПК повышается до определяемого с помощью ДЭРА Т-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критерия&gt; -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2,5 и при отсутствии каких-либо переломов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29, 43, 63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Связанный с применением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остеонекроз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челюсти является редким осложнением, и обычно риск имеется только при применении доз, превышающих рекомендованные для профилактики переломов дозы. Отсутствуют доказательства того, что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предотвращают переломы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Селективные модуляторы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эстрогеновых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рецепторов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СМЭР,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снижают частоту переломов позвонков у женщин в постменопаузе как с наличием в анамнезе переломов позвонков, так и без таковых.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переломы бедра в особой группе женщин с высоким риском переломов бедра.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ЭР-положительный рак молочной железы у женщин с остеопорозом. СМЭР не облегчают вазомоторные симптомы, связанные с менопаузой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29, 43, 55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Паратиреоидный гормон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ПТГ - анаболический агент, значительно снижающий риск переломов позвонков за счет стимуляции костеобразования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4, 29, 43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ПТГ показан в случаях тяжелого остеопороза или для пациентов, у которых произошел перелом на фоне других видов терапии. ПТГ применяется в виде ежедневных подкожных инъекций на протяжении максимально 18 месяцев. После данного периода необходимо рассмотреть вопрос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антирезорбтивного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средства. Применение ПТГ ограничено его стоимостью, которая значительно превышает таковую других имеющихся средств. Предшествующее лечение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бисфосфонатами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уменьшает эффективность последующего использ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ПТГ.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Стронция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ранелат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 снижает риск переломов позвонков и другой локализации у пациентов с остеопорозом, вне зависимости от наличия перелома или возраста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Недавние опасения относительно сердечно-сосудистой безопасности ограничили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случаями тяжелого остеопороза у пациентов с низким риском сердечно-сосудистых заболеваний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1, 3, 4, 8, 29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человеческое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антитело к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лиганду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рецептора активатора ядерного фактора каппа В (RANKL).  При подкожном введении в дозе 60 мг каждые 6 месяцев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 уменьшает риск переломов позвонков, бедра и других локализаций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Обычно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безопасен и хорошо переносится. </w:t>
      </w:r>
    </w:p>
    <w:p w:rsidR="00792F6B" w:rsidRPr="00E37BDE" w:rsidRDefault="00792F6B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EC" w:rsidRPr="00E37BDE" w:rsidRDefault="007B7C11" w:rsidP="00CE4644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ГЕНИТОУРИНАРНЫЙ СИНДРОМ В МЕНОПАУЗЕ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переходном периоде появляются гистологические и функциональные изменения в эпителии влагалища и урогенитального тракта,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обусловленные снижением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уровней эстрогенов, при этом более половины всех женщин в постменопаузе столкнутся с симптомами, связанными с атрофией тканей. Симптомы и признаки атрофических процессов в мочеполовой системе чаще проявляется в поздней постменопаузе и включают сухость,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стрессовое, ургентное недержание мочи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ноктурию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Крайне важно врачу на приеме спрашивать о наличии подобных симптомов, поскольку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нередко пациентки стесняются или считают это возрастной нормой. Лишь 57% женщин отметили, что подобные вопросы были заданы врачом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BD2B2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1, 3, 5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NAMS/ISSWSH предложили новое определение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(ВВА). Она была названа урогенитальным синдромом менопаузы (УСМ) для того, чтобы более точно описать комплекс урогенитальных симптомов и при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знаков, связанных с менопаузой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Частота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составляет от 13%   –в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60% –в постменопаузе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4, 7, 8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плохо осведомлены о том, что ВВА является хроническим состоянием, значительно воздействующим на сексуальное здоровье и качество жизни, и что существует эф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фективное и безопасное лечение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Начиная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подавляющего большинства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женщин по мере возникновения дефицита эстрогенов прогрессивно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атрофия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влагалищного эпителия, что приводит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снижению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приводит к изменению рН среды из кислой в щелочную, что повышает вероятность воспалительных заболеваний половых путей и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мочевыводящей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преимущественно с восходящим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инфицированием.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7C11" w:rsidRPr="00E837FC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нейровегетативные, вазомоторные расстройства имеют тенденцию к улучшению без специфической терапии, то симптомы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исчезают, а прогрессируют, преследуют женщин до самой старости, неуклонно прогрессируя, негативно влияют на сексуальное здоровье и качество жизни женщины и практическ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корригируется без лечения.</w:t>
      </w:r>
    </w:p>
    <w:p w:rsidR="007C4BEC" w:rsidRPr="00366126" w:rsidRDefault="007C4BEC" w:rsidP="00E837FC">
      <w:pPr>
        <w:spacing w:after="29" w:line="268" w:lineRule="auto"/>
        <w:ind w:right="2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синдрома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Лечение следует начинать рано, прежде чем произойдут необратимые атрофические изменения и его необходимо продолжать для сохранения полученных преимуществ. Принципы лечения у женщин с установленным диагнозом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включают восстановление физиологии урогенитального тракта и облегчение симптомов. Лечение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начинают с системной МГТ, поскольку у женщин одновременно имеются вазомоторные симптомы или необходимо проводить профилактику остеопор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оза при наличии факторов риска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Эффективными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являются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препараты (например,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½), прием которых способствует снижению рН влагалища, улучшению показателей вагинального индекса созревания клеток эпителия. Системная МГТ способствует уменьшению выраженности сухости влагалища, раздражению слизистой вульвы и влагалища, снижению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одновременным снижением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нейровегетавных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симпомов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случаях отсутствия значимого облегчения проявлений вагинальных симптомов на фоне системной МГТ, дополнительно назначаются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вагинальные эстрогены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1, 4, 8, 69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женщин, имеющих жалобы только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сухость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 или ургентное недержание мочи предпочтительна влагалищная терапия эстрогенами в низких дозах. В России для вагинального введения зарегистрирован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дозах от 0,5 до 0,03 мкг, который вначале используется ежедневно, а по мере купирования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– 2 раза в неделю. Локальную терапию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проводить как в виде монотерапии, так и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Системная резорбция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минимальна, его уровни в крови определяются в пределах нормальных для постменопаузы значений (≤ 20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/мл), поэтому данную терапию можно проводить в непрерывном режиме, пока есть показания, без ограничений для перерывов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последующего возобновления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3, 4, 8, 71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локального применения соответствующей низкой дозы эстрогенов дополнительное использование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требуется, хотя данных длительного применения (более 1 года)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много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Длительная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приводить к повышенному риску венозной тромбоэмболии. 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раке эндометрия или молочной железы в анамнезе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препаратами возможна только после консультации онколога с учетом информированности женщины о потенциальных рисках проведения данной терапии. Существует мало данных об использовании вагинальных эстрогенов у женщин с гинекологическими гормонально-зависимыми формами рака, поэтому их следует использовать с осторожностью. Применение локальных эстрогенов у женщин, получающих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тамоксифен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ингибиторы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ароматазы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требует тщательного консультирования и обсуждения с пациенткой и онкологами. Данные </w:t>
      </w:r>
      <w:r w:rsid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пациентки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пользоваться средствами для увлажнения влагалища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следует рекомендовать половую жизнь на регулярной основе.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Положительный частичный эффект локальной эстроген-терапии может наблюдаться при рецидивирующих урогенитальных инфекциях,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мочевом пузыре, дизурии, ургентном недержании мочи, что требует тщательного сбора анамнеза, обследования, консультации уролога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системной МГТ, не предотвращает развитие недержания мочи и не имеет преимуществ перед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локальными препаратами эстрогенов при ведении пациенток с урогенитальной атрофией или рецидивирующими инфекциями нижних мочевых путей.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 при наличии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изменение образа жизни и тренировка мочевого пузыря рекомендованы в качестве терапии первой линии. Лекарственной терапией первой линии у женщин в постменопаузе с симптомами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является применение антихолинергических препаратов в комбинации с локальными эстрогенами.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женщины, жалующиеся на стрессовое недержание мочи, получат пользу, прежде всего, от тренировки мышц тазового дна. В настоящее время не признается роль системной терапии эстрогенами у женщин с чистым стрессовым недержанием мочи.</w:t>
      </w:r>
    </w:p>
    <w:p w:rsidR="007B7C11" w:rsidRPr="00E837FC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стрессовом недержании мочи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Дулоксетин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оказывать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синергичное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консервативной терапией действие. Тем не менее, некоторым женщинам в конечном счете будет проведена хирургическая операция, при этом наиболее популярными в настоящее время процедурами являются создание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позадилобкового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трансобтураторного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сочетании пролапса тазовых органов и стрессового недержания мочи выполняется сочетанная операция – реконструктивно-пластическая операция по коррекции пролапса с одновременной установкой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keepNext/>
        <w:keepLines/>
        <w:spacing w:after="3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Эстрогены в ведении пациенток с рецидивирующими инфекциями мочеполового тракта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Терапия эстрогенами снижает рН влагалища и способствует нивелированию микробиологических изменений, отмечающихся во влагалище после наступления менопаузы, способствует профилактике рецидивирующих инфекций мочевыводящих путей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применение пероральных эстрогенов неэффективно (ОР 1,08; 95% ДИ 0,88-1,33) а вагинальное применение эстрогенов снижало количество инфекций в сравнении с плацебо (ОР 0,25; 95% ДИ 0,13-0,50 и ОР 0,64; 95% ДИ 0,47-0,86, соответственно). </w:t>
      </w:r>
    </w:p>
    <w:p w:rsidR="007C4BEC" w:rsidRPr="00E37BDE" w:rsidRDefault="007C4BEC" w:rsidP="00E837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4BEC" w:rsidRPr="00E837FC" w:rsidRDefault="007B7C11" w:rsidP="00CE4644">
      <w:pPr>
        <w:spacing w:after="39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СЕКСУАЛЬНАЯ ДИСФУНКЦИЯ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Здоровое старение имеет важное значение для качества жизни в целом и сексуального благополучия, а сексуальность все еще важна для многих пожилых 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 в менопаузальном периоде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В то же время в пожилом возрасте формируются некоторые особенности сексуальности, обусловленные изменением внешнего вида тела,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формирующего чувство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стыда, отрицание сексуальных контактов, снижением либидо</w:t>
      </w:r>
      <w:r w:rsidR="00E83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</w:rPr>
        <w:t>1, 67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возрастом происходит снижение частоты сексуальных контактов, меняется их форма, которая может широко варьировать и включать в себя, например, только касания, приемлемые для обоих партнеров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Особенностью сексуальности у пожилых женщин нередко является отказ от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коитальных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контактов в связи с симптомами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синдрома (сухость,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посткоитальное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кровотечение,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диспареунию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, снижение влагалищной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смазки 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время половой жизни), приводящие к неприятным и болезненным ощущениям.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Значительной психологической проблемой пожилых женщин является непонимание собственных физиологических возрастных изменений, склонность драматизировать события и расценивать возникшие изменения как патологические. В этом плане важно объяснять пожилым людям особенности возрастной сексуальности, что поможет избежать внутреннего конфликта и дискомфорта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3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4, 8, 70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hAnsi="Times New Roman"/>
          <w:color w:val="000000"/>
          <w:sz w:val="28"/>
          <w:szCs w:val="28"/>
        </w:rPr>
        <w:t xml:space="preserve">Сердечно-сосудистая патология, часто встречающаяся в пожилом возрасте, может обусловить ухудшение самочувствия на фоне сексуальной активности, развитие приступов стенокардии, повышение артериального давления. Патология опорно-двигательного аппарата способна вызвать болевой синдром при занятиях сексом. Все это нередко вынуждает пожилых женщин избегать активных сексуальных отношений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4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8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 Нередко соматическая патология оказывает влияние не только на половую функцию, но и качество жизни, приводя к его снижению.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Хирургическая менопауза с большей вероятностью приводит к сексуальной дисфункции, особенно сниженному сексуальному влечению, обусловленное более глубокой эндокринной недостаточностью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0E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8,12</w:t>
      </w:r>
      <w:r w:rsidR="00E837FC" w:rsidRPr="000E3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Особое внимание следует уделять женщинам с естественной менопаузой в более молодом возрасте, поскольку бремя преждевременной менопаузы включает в себя несколько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аспектов, влияющих на качество жизни и сексуальное благополучие, включая в некоторых случаях горе бесплодия. Ятрогенная менопауза у перенесших рак молочной железы и у женщин с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другими злокачественными новообразованиями крайне разрушительна в контексте качества жизни и сексуального благополучия, и это тот вопрос, который требует дальнейшего изучения в свете складывающейся реальности перенесших рак пациенток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в обязательном порядке использовать соответствующие вопросы для оценки сексуального благополучия,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женщины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не готовы самостоятельно начать разговор о сексуальном интересе, поведении и активности, но они, как правило, ценят, когда об этом спрашивает врач.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(самостоятельно заполняемые анкеты, ежедневники и журналы событий (полу-структурированные интервью) можно использовать должным образом с целью диагностики женской сексуальной дисфункции (ЖСД) и получения информации о сексуальных концепциях и взаимоотношениях, принимая во внимание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биопсихосоциальную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модель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учитывать, что сексуальная дисфункция является распространённым побочным эффектом приёма многих назначаемых лекарств. Пожилым людям свойственен длительный приём лекарств, отпускаемых по рецепту, а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одновременное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множества лекарственных средств (полипрагмазия) в силу хронического характера заболеваний. Спектр препаратов, которые могут негативно сказаться на сексуальном здоровье, довольно широк и включает препараты, снижающие артериальное давление, психотропные лекарства, некоторые противоэпилептические средства. К тому же, некоторые препараты, 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антипаркинсонические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средства, могут вызвать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гиперсексуальность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уровней циркулирующих половых стероидов обычно не приносит пользы, а диагностика андрогенного дефицита у здоровых женщин не должна в первую очередь основываться на определении уровней андрогенов, поскольку данные об их корреляции со специфическими признаками и симптомами в</w:t>
      </w:r>
      <w:r w:rsid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противоречивы 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При сексуальной дисфункции у женщин необходимо учитывать их возраст, тип </w:t>
      </w:r>
      <w:r w:rsidR="007B7C11" w:rsidRPr="00366126">
        <w:rPr>
          <w:color w:val="000000"/>
          <w:sz w:val="28"/>
          <w:szCs w:val="28"/>
        </w:rPr>
        <w:t>менопаузы (</w:t>
      </w:r>
      <w:r w:rsidRPr="00366126">
        <w:rPr>
          <w:color w:val="000000"/>
          <w:sz w:val="28"/>
          <w:szCs w:val="28"/>
        </w:rPr>
        <w:t xml:space="preserve">своевременная, естественная или хирургическая), </w:t>
      </w:r>
      <w:r w:rsidRPr="00366126">
        <w:rPr>
          <w:color w:val="000000"/>
          <w:sz w:val="28"/>
          <w:szCs w:val="28"/>
        </w:rPr>
        <w:lastRenderedPageBreak/>
        <w:t>длительность постменопаузы, наличие и выраженность вазомоторных симптомов и изменений настроения, общее состояние здоровья, прием лекарственных препаратов с центральным действием по поводу хронических заболеваний, личностные черты и характер партнерских отношений.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Для сексуальной дисфункции особую роль играют два симптома </w:t>
      </w:r>
      <w:proofErr w:type="spellStart"/>
      <w:r w:rsidRPr="00366126">
        <w:rPr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color w:val="000000"/>
          <w:sz w:val="28"/>
          <w:szCs w:val="28"/>
        </w:rPr>
        <w:t xml:space="preserve"> синдрома – </w:t>
      </w:r>
      <w:proofErr w:type="spellStart"/>
      <w:r w:rsidRPr="00366126">
        <w:rPr>
          <w:color w:val="000000"/>
          <w:sz w:val="28"/>
          <w:szCs w:val="28"/>
        </w:rPr>
        <w:t>диспареуния</w:t>
      </w:r>
      <w:proofErr w:type="spellEnd"/>
      <w:r w:rsidRPr="00366126">
        <w:rPr>
          <w:color w:val="000000"/>
          <w:sz w:val="28"/>
          <w:szCs w:val="28"/>
        </w:rPr>
        <w:t xml:space="preserve"> и сухость влагалища, приводящих к серьезным нарушениям основных составляющих сексуального ответа (желание и возбуждение). Эффективное купирование данных симптомов возможно при проведении МГТ, которая может быть системной, локальной или сочетанной.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Возможно проведение лечения </w:t>
      </w:r>
      <w:proofErr w:type="spellStart"/>
      <w:r w:rsidRPr="00366126">
        <w:rPr>
          <w:color w:val="000000"/>
          <w:sz w:val="28"/>
          <w:szCs w:val="28"/>
        </w:rPr>
        <w:t>тиболоном</w:t>
      </w:r>
      <w:proofErr w:type="spellEnd"/>
      <w:r w:rsidRPr="00366126">
        <w:rPr>
          <w:color w:val="000000"/>
          <w:sz w:val="28"/>
          <w:szCs w:val="28"/>
        </w:rPr>
        <w:t>, эффективность которого превосходит традиционную МГТ по влиянию на сексуальную дисфункцию у пожилых женщин, особенно в отношении таких показателей как желание и возбуждение, обусловленного уникальным сочетанием эстрогенного и слабого андрогенного эффект</w:t>
      </w:r>
      <w:r w:rsidR="002F7DE0">
        <w:rPr>
          <w:color w:val="000000"/>
          <w:sz w:val="28"/>
          <w:szCs w:val="28"/>
        </w:rPr>
        <w:t xml:space="preserve">ов </w:t>
      </w:r>
      <w:r w:rsidR="002F7DE0" w:rsidRPr="002F7DE0">
        <w:rPr>
          <w:color w:val="000000"/>
          <w:sz w:val="28"/>
          <w:szCs w:val="28"/>
        </w:rPr>
        <w:t>[</w:t>
      </w:r>
      <w:r w:rsidR="00A06E3D" w:rsidRPr="00366126">
        <w:rPr>
          <w:color w:val="000000"/>
          <w:sz w:val="28"/>
          <w:szCs w:val="28"/>
        </w:rPr>
        <w:t>4, 8, 10, 71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Гормональная и негормональная терапия и/или </w:t>
      </w:r>
      <w:proofErr w:type="spellStart"/>
      <w:r w:rsidRPr="00366126">
        <w:rPr>
          <w:color w:val="000000"/>
          <w:sz w:val="28"/>
          <w:szCs w:val="28"/>
        </w:rPr>
        <w:t>психосексуальные</w:t>
      </w:r>
      <w:proofErr w:type="spellEnd"/>
      <w:r w:rsidRPr="00366126">
        <w:rPr>
          <w:color w:val="000000"/>
          <w:sz w:val="28"/>
          <w:szCs w:val="28"/>
        </w:rPr>
        <w:t xml:space="preserve"> методики должны быть индивидуализированы и адаптированы в зависимости от анамнеза женщины и текущих потребностей, принимая во внимание также и наличие партнера, общее и сексуальное здоровье партнера и качество интимных отношений</w:t>
      </w:r>
      <w:r w:rsidR="002F7DE0">
        <w:rPr>
          <w:color w:val="000000"/>
          <w:sz w:val="28"/>
          <w:szCs w:val="28"/>
        </w:rPr>
        <w:t xml:space="preserve"> </w:t>
      </w:r>
      <w:r w:rsidR="002F7DE0" w:rsidRPr="002F7DE0">
        <w:rPr>
          <w:color w:val="000000"/>
          <w:sz w:val="28"/>
          <w:szCs w:val="28"/>
        </w:rPr>
        <w:t>[</w:t>
      </w:r>
      <w:r w:rsidR="002F7DE0">
        <w:rPr>
          <w:color w:val="000000"/>
          <w:sz w:val="28"/>
          <w:szCs w:val="28"/>
        </w:rPr>
        <w:t>3, 4, 8, 10, 72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Pr="00E37BDE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CE4644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t>СПИСОК ЛИТЕРАТУРЫ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Ведение женщин в пери- и постменопаузе: практические рекомендации / Под ред. В.П. </w:t>
      </w:r>
      <w:proofErr w:type="spellStart"/>
      <w:r w:rsidRPr="00366126">
        <w:rPr>
          <w:rFonts w:ascii="Times New Roman" w:hAnsi="Times New Roman"/>
          <w:sz w:val="28"/>
          <w:szCs w:val="28"/>
        </w:rPr>
        <w:t>Сметник</w:t>
      </w:r>
      <w:proofErr w:type="spellEnd"/>
      <w:r w:rsidRPr="00366126">
        <w:rPr>
          <w:rFonts w:ascii="Times New Roman" w:hAnsi="Times New Roman"/>
          <w:sz w:val="28"/>
          <w:szCs w:val="28"/>
        </w:rPr>
        <w:t>, Л.М. Ильиной. – М.: Ярославль: ООО «ИПК «Литера», 2010. – 221 с.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Яковец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М.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Лызикова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Ю. А. </w:t>
      </w:r>
      <w:r w:rsidRPr="00366126">
        <w:rPr>
          <w:rFonts w:ascii="Times New Roman" w:hAnsi="Times New Roman"/>
          <w:sz w:val="28"/>
          <w:szCs w:val="28"/>
          <w:lang w:eastAsia="en-US"/>
        </w:rPr>
        <w:t>Медико-биологические аспекты климактерия // Проблемы здоровья и экологии. 2013. № 1 (35).  С. 51-57.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Менопаузальная гормонотерапия и сохранение здоровья женщин в зрелом возрасте. - Клинические рекомендации (Протоколы) Министерства здравоохранения Российской Федерации. - Москва 2014. – 42 </w:t>
      </w:r>
      <w:r w:rsidRPr="00366126">
        <w:rPr>
          <w:rFonts w:ascii="Times New Roman" w:hAnsi="Times New Roman"/>
          <w:sz w:val="28"/>
          <w:szCs w:val="28"/>
          <w:lang w:val="en-US"/>
        </w:rPr>
        <w:t>c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sz w:val="28"/>
          <w:szCs w:val="28"/>
          <w:lang w:val="en-US"/>
        </w:rPr>
        <w:t xml:space="preserve">R. J. Baber, N. Panay, A. Fenton et al.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IMS Writing Group 2016 IMS Recommendations on women’s midlife health and menopause hormone therapy // Climacteric. 2016. Vol. 19(2). P. 109–150.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Lobo R.A., Davis S.R., de Villiers T.J. et al. Prevention of diseases after menopause // Climacteric. 2014. Vol. 17. P. 540–556.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Harlow S.D.,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Gass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M., Hall J.E. et al., STRAW + 10 Collaborative Group. Executive summary of the Stages of Reproductive Aging Workshop + 10: addressing the unfinished agenda of staging reproductive aging // J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Endocrinol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Metab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2012. Vol. 97(4). P. 1159–1168.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366126">
        <w:rPr>
          <w:rFonts w:ascii="Times New Roman" w:hAnsi="Times New Roman"/>
          <w:sz w:val="28"/>
          <w:szCs w:val="28"/>
          <w:lang w:val="en-US"/>
        </w:rPr>
        <w:t xml:space="preserve">Practice Bulletin No.141: Management of  Menopausal Symptoms.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ObstetGynecol</w:t>
      </w:r>
      <w:proofErr w:type="spellEnd"/>
      <w:r w:rsidRPr="00366126">
        <w:rPr>
          <w:rFonts w:ascii="Times New Roman" w:hAnsi="Times New Roman"/>
          <w:sz w:val="28"/>
          <w:szCs w:val="28"/>
          <w:lang w:val="en-US"/>
        </w:rPr>
        <w:t>. 2014</w:t>
      </w:r>
      <w:proofErr w:type="gramStart"/>
      <w:r w:rsidRPr="00366126">
        <w:rPr>
          <w:rFonts w:ascii="Times New Roman" w:hAnsi="Times New Roman"/>
          <w:sz w:val="28"/>
          <w:szCs w:val="28"/>
          <w:lang w:val="en-US"/>
        </w:rPr>
        <w:t>;123:202</w:t>
      </w:r>
      <w:proofErr w:type="gramEnd"/>
      <w:r w:rsidRPr="00366126">
        <w:rPr>
          <w:rFonts w:ascii="Times New Roman" w:hAnsi="Times New Roman"/>
          <w:sz w:val="28"/>
          <w:szCs w:val="28"/>
          <w:lang w:val="en-US"/>
        </w:rPr>
        <w:t xml:space="preserve">-216.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Сухих Г.Т.,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Сметник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В.П.. Андреева Е.Н. и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соавт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Менопаузальная гормонотерапия и сохранение здоровья женщин в зрелом возрасте. Проблемы репродукции. 2016. – с. 8-9.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Юренева С.В., Ильина Л.М. Практическое руководство для врачей по ведению женщин в переходном периоде и в постменопаузе (по материалам обновленных российских и международных рекомендаций). Москва. – АО «Байер», 2017.- 99 с.</w:t>
      </w:r>
    </w:p>
    <w:p w:rsidR="004A09E4" w:rsidRPr="00366126" w:rsidRDefault="000E3D86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hyperlink r:id="rId12" w:history="1">
        <w:proofErr w:type="spellStart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Унанян</w:t>
        </w:r>
        <w:proofErr w:type="spellEnd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 xml:space="preserve"> А.Л.</w:t>
        </w:r>
      </w:hyperlink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 </w:t>
      </w:r>
      <w:proofErr w:type="spellStart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instrText xml:space="preserve"> HYPERLINK "https://www.rmj.ru/authors/Kuzenkova_NN/" </w:instrTex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Кузенкова</w:t>
      </w:r>
      <w:proofErr w:type="spellEnd"/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Н.Н.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vertAlign w:val="superscript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>соавт</w:t>
      </w:r>
      <w:proofErr w:type="spellEnd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A09E4" w:rsidRPr="00366126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Менопаузальная терапия: преимущества и риски применения – РМЖ. –   </w:t>
      </w:r>
      <w:hyperlink r:id="rId13" w:history="1">
        <w:r w:rsidR="004A09E4" w:rsidRPr="00366126">
          <w:rPr>
            <w:rStyle w:val="aa"/>
            <w:rFonts w:ascii="Times New Roman" w:hAnsi="Times New Roman" w:cs="Times New Roman"/>
            <w:i w:val="0"/>
            <w:color w:val="354778"/>
            <w:sz w:val="28"/>
            <w:szCs w:val="28"/>
            <w:u w:val="none"/>
            <w:shd w:val="clear" w:color="auto" w:fill="FFFFFF"/>
          </w:rPr>
          <w:t xml:space="preserve">«РМЖ» №15 от 31.08.2017 </w:t>
        </w:r>
      </w:hyperlink>
      <w:r w:rsidR="004A09E4" w:rsidRPr="00366126">
        <w:rPr>
          <w:rStyle w:val="articlepages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стр. 1128-1134</w:t>
      </w:r>
    </w:p>
    <w:p w:rsidR="004A09E4" w:rsidRPr="00366126" w:rsidRDefault="004A09E4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Лопатина О.В., Балан В.Е., Ткачева О.Н., Шарашкина Н.В., Журавель А.С. Факторы женского здоровья с точки зрения старения репродуктивной системы и риска развития сердечно-сосудистых заболеваний / </w:t>
      </w:r>
      <w:proofErr w:type="spellStart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Ф.Н. // Альманах клинической медицины. — 2015 Март; 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 xml:space="preserve">Carmina E.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Cardiovascular risk and events in polycystic ovary syndrome // Climacteric.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2009.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>. 12 (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suppl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.).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>. 22-25.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F2228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Ю.Э., Ильина И.Ю.  Синдром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постгистерэктомии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Диагностика и лечение. - </w:t>
      </w:r>
      <w:r w:rsidRPr="00366126">
        <w:rPr>
          <w:rFonts w:ascii="Times New Roman" w:hAnsi="Times New Roman"/>
          <w:sz w:val="28"/>
          <w:szCs w:val="28"/>
          <w:shd w:val="clear" w:color="auto" w:fill="FFFFFF"/>
        </w:rPr>
        <w:t xml:space="preserve">ГЭОТАР-Медиа. - </w:t>
      </w:r>
      <w:r w:rsidRPr="00366126">
        <w:rPr>
          <w:rFonts w:ascii="Times New Roman" w:hAnsi="Times New Roman"/>
          <w:sz w:val="28"/>
          <w:szCs w:val="28"/>
          <w:lang w:eastAsia="en-US"/>
        </w:rPr>
        <w:t>2017.- 208 с.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Майчук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Е. Ю.</w:t>
      </w:r>
      <w:r w:rsidRPr="00366126">
        <w:rPr>
          <w:rFonts w:ascii="Times New Roman" w:hAnsi="Times New Roman"/>
          <w:sz w:val="28"/>
          <w:szCs w:val="28"/>
          <w:lang w:eastAsia="en-US"/>
        </w:rPr>
        <w:t>, Воеводина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В.</w:t>
      </w:r>
      <w:r w:rsidRPr="00366126">
        <w:rPr>
          <w:rFonts w:ascii="Times New Roman" w:hAnsi="Times New Roman"/>
          <w:sz w:val="28"/>
          <w:szCs w:val="28"/>
          <w:lang w:eastAsia="en-US"/>
        </w:rPr>
        <w:t>, Митрохина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Т. В.</w:t>
      </w:r>
      <w:r w:rsidRPr="00366126">
        <w:rPr>
          <w:rFonts w:ascii="Times New Roman" w:hAnsi="Times New Roman"/>
          <w:sz w:val="28"/>
          <w:szCs w:val="28"/>
          <w:lang w:eastAsia="en-US"/>
        </w:rPr>
        <w:t>, Моисеенко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Скрипникова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А.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Сапунова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Д. А. </w:t>
      </w:r>
      <w:r w:rsidRPr="00366126">
        <w:rPr>
          <w:rFonts w:ascii="Times New Roman" w:hAnsi="Times New Roman"/>
          <w:sz w:val="28"/>
          <w:szCs w:val="28"/>
          <w:lang w:eastAsia="en-US"/>
        </w:rPr>
        <w:t>Влияния хирургической менопаузы на факторы риска сердечно–сосудистых заболеваний и остеопороза (клинические наблюдения). //</w:t>
      </w:r>
      <w:r w:rsidRPr="00366126">
        <w:rPr>
          <w:rFonts w:ascii="Times New Roman" w:hAnsi="Times New Roman"/>
          <w:color w:val="FFFFFF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Остеопороз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остеопатии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2011. №1. С.33-36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Vujovic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Brincat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M.,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Erel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T. et </w:t>
      </w:r>
      <w:r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l. EMAS position statement: Managing women with premature ovarian failure //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Maturitas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2010.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67.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91-93.  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iCs/>
          <w:sz w:val="28"/>
          <w:szCs w:val="28"/>
        </w:rPr>
        <w:lastRenderedPageBreak/>
        <w:t>Чухарева Н.А., Рунихина Н.К., Дудинская</w:t>
      </w:r>
      <w:r w:rsidRPr="00366126">
        <w:rPr>
          <w:rFonts w:ascii="Times New Roman" w:hAnsi="Times New Roman"/>
          <w:i/>
          <w:iCs/>
          <w:sz w:val="28"/>
          <w:szCs w:val="28"/>
        </w:rPr>
        <w:t xml:space="preserve"> Е.Н. </w:t>
      </w:r>
      <w:r w:rsidRPr="00366126">
        <w:rPr>
          <w:rFonts w:ascii="Times New Roman" w:hAnsi="Times New Roman"/>
          <w:bCs/>
          <w:sz w:val="28"/>
          <w:szCs w:val="28"/>
        </w:rPr>
        <w:t xml:space="preserve">Особенности течения беременности у женщин с ожирением. </w:t>
      </w:r>
      <w:r w:rsidRPr="00366126">
        <w:rPr>
          <w:rFonts w:ascii="Times New Roman" w:hAnsi="Times New Roman"/>
          <w:sz w:val="28"/>
          <w:szCs w:val="28"/>
        </w:rPr>
        <w:t>Акушерство и гинекология. 2014. № 2. С. 9-13.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iCs/>
          <w:sz w:val="28"/>
          <w:szCs w:val="28"/>
        </w:rPr>
        <w:t>Бойцов С.А., Стражеско И.Д., Акашева Д.У., Дудинская Е.Н., Кругликова А.С., Ткачева О.Н.</w:t>
      </w:r>
      <w:r w:rsidRPr="00366126">
        <w:rPr>
          <w:rFonts w:ascii="Times New Roman" w:hAnsi="Times New Roman"/>
          <w:sz w:val="28"/>
          <w:szCs w:val="28"/>
        </w:rPr>
        <w:br/>
      </w:r>
      <w:r w:rsidRPr="00366126">
        <w:rPr>
          <w:rFonts w:ascii="Times New Roman" w:hAnsi="Times New Roman"/>
          <w:bCs/>
          <w:sz w:val="28"/>
          <w:szCs w:val="28"/>
        </w:rPr>
        <w:t xml:space="preserve">Инсулинорезистентность: благо или зло? механизмы развития и связь с возраст-ассоциированными изменениями сосудов. </w:t>
      </w:r>
      <w:r w:rsidRPr="00366126">
        <w:rPr>
          <w:rFonts w:ascii="Times New Roman" w:hAnsi="Times New Roman"/>
          <w:sz w:val="28"/>
          <w:szCs w:val="28"/>
        </w:rPr>
        <w:t xml:space="preserve">Кардиоваскулярная терапия и профилактика. 2013. Т. 12. № 4. С. 91-97. </w:t>
      </w:r>
    </w:p>
    <w:p w:rsidR="004A09E4" w:rsidRPr="00366126" w:rsidRDefault="000E3D8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tooltip="Kruglikova Anna S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Кругликова А.С.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5" w:tooltip="Стражеско Ирина Дмитриевна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Стражеско И.Д.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6" w:tooltip="Ткачева О.Н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Ткачева О.Н.</w:t>
        </w:r>
      </w:hyperlink>
      <w:r w:rsidR="004A09E4" w:rsidRPr="00366126">
        <w:rPr>
          <w:rFonts w:ascii="Times New Roman" w:hAnsi="Times New Roman"/>
          <w:bCs/>
          <w:sz w:val="28"/>
          <w:szCs w:val="28"/>
        </w:rPr>
        <w:t xml:space="preserve"> Взаимосвязь факторов сердечно-сосудистого риска и биологии теломер с признаками сосудистого старения. - </w:t>
      </w:r>
      <w:r w:rsidR="004A09E4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tooltip="Перейти на страницу журнала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Кардиоваскулярная терапия и профилактика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– том 13. – 2014. – с. 11-17.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Sternfeld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Wang H.,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Quesenberry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C.P. et al. Physical activity and changes in weight and waist circumference in midlife women: findings from the Study of Women's Health Across the Nation // Am J Epidemiol. 2004. Vol. 160(9). P. 912–922.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Pan A., Lucas M., Sun Q. et al. Bidirectional association between depression and type 2 diabetes mellitus in women // Arch Intern Med. 2010. Vol. 170. P. 1884–1891.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Dubnov-Raz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G., Pines A., Berry E.M. Diet and lifestyle in managing postmenopausal obesity // Climacteric. 2007. Vol. 10 (Suppl 2). P. 38–41.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Souto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J.C., Pena G.,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Ziyatdinov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A. et al. A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genomewide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study of body mass index and its genetic correlation with thromboembolic risk. Results from the GAIT project //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Thromb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Haemost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2014. Vol. 112(5). P. 1036–1043.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Sylvia H. Ley,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Yanping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Li, Deirdre K. Tobias, JoAnn E. Manson, Bernard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Rosner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Frank B. Hu and Kathryn M.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Rexrode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«Duration of Reproductive Life Span, Age at Menarche, and Age at Menopause Are Associated With Risk of Cardiovascular Disease in Women». Dallas: «The </w:t>
      </w:r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>Journal of the American Heart Association»; 2017. USA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Лопатина О.В., Балан В.Е., Ткачева О.Н., Шарашкина Н.В., Журавель А.С. Факторы женского здоровья 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точки зрения старения репродуктивной системы и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риска развития сердечно-сосудистых заболеваний /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Ф.Н. // Альманах клинической медицины. — 2015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Март;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Дюбкова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Т. П. Влияние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на репродуктивное здоровье женщин // Медицинская панорама.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2006. № 4. </w:t>
      </w:r>
      <w:r w:rsidRPr="00366126">
        <w:rPr>
          <w:rFonts w:ascii="Times New Roman" w:hAnsi="Times New Roman"/>
          <w:sz w:val="28"/>
          <w:szCs w:val="28"/>
          <w:lang w:eastAsia="en-US"/>
        </w:rPr>
        <w:t>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. 77–81.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Tawfik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Heba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et al. “Life Course Exposure to Smoke and Early Menopause and Menopausal Transition.” Menopause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York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.) 22.10 (2015): 1076–1083.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Шишкин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А. Н.</w:t>
      </w:r>
      <w:r w:rsidRPr="00366126">
        <w:rPr>
          <w:rFonts w:ascii="Times New Roman" w:hAnsi="Times New Roman"/>
          <w:sz w:val="28"/>
          <w:szCs w:val="28"/>
          <w:lang w:eastAsia="en-US"/>
        </w:rPr>
        <w:t>, Худякова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Н. В.</w:t>
      </w:r>
      <w:r w:rsidRPr="00366126">
        <w:rPr>
          <w:rFonts w:ascii="Times New Roman" w:hAnsi="Times New Roman"/>
          <w:sz w:val="28"/>
          <w:szCs w:val="28"/>
          <w:lang w:eastAsia="en-US"/>
        </w:rPr>
        <w:t>, Смирнов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В.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Никитина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Е. А.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Метаболический синдром у женщин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// Вестник СПбГУ. Сер. 11. 2013.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Вып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3. С. 39-56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Прилепская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В. Н.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Ожирение и репродуктивное здоровье женщины // Поликлиническая гинекология, 2 изд. Доп., - М.: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МЕДпресс-информ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2005. С. 510-518.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articlepages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Доброхотова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Ю.Э.,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Дугиева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М.З. Постменопаузальный остеопороз: </w:t>
      </w:r>
      <w:r w:rsidRPr="002F7DE0">
        <w:rPr>
          <w:rFonts w:ascii="Times New Roman" w:hAnsi="Times New Roman"/>
          <w:sz w:val="28"/>
          <w:szCs w:val="28"/>
          <w:shd w:val="clear" w:color="auto" w:fill="FFFFFF"/>
        </w:rPr>
        <w:t>препараты кальция в современной стратегии профилактики и лечения //</w:t>
      </w:r>
      <w:r w:rsidRPr="002F7DE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2F7DE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«РМЖ». – 2017. - №15. – </w:t>
        </w:r>
      </w:hyperlink>
      <w:r w:rsidRPr="002F7DE0">
        <w:rPr>
          <w:rFonts w:ascii="Times New Roman" w:hAnsi="Times New Roman"/>
          <w:sz w:val="28"/>
          <w:szCs w:val="28"/>
        </w:rPr>
        <w:t>с.</w:t>
      </w:r>
      <w:r w:rsidRPr="002F7DE0">
        <w:rPr>
          <w:rStyle w:val="articlepages"/>
          <w:rFonts w:ascii="Times New Roman" w:hAnsi="Times New Roman"/>
          <w:sz w:val="28"/>
          <w:szCs w:val="28"/>
          <w:shd w:val="clear" w:color="auto" w:fill="FFFFFF"/>
        </w:rPr>
        <w:t xml:space="preserve"> 1135-1139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Дедов И.И., Мельниченко Г.А., Белая Ж.Е., Рожинская Л.Я. Остеопороз – от редкого симптома эндокринных болезней до безмолвной эпидемии XX–XXI в. // Проблемы эндокринологии. 2011. Т. 57. С. 35–45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Татарчук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Т.Ф., Ефименко О.А. Современные подходы к лечению постменопаузального остеопороза // Новости медицины и фармации. 2013. № 3. С. 444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Hordon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Aaron J.E. Trabecular architecture in women and men of similar bone mass with and without vertebral fractures: two–dimensional histology // Bone. 2000.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27(2). P. 271–276.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Серов В.Н., Михайлова О.И.,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Блинова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Основные принципы профилактики и лечения постменопаузального остеопороза // РМЖ. 2009.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16.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1009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McClung M. Inhibition of RANKL as a treatment for osteoporosis: Preclinical and early clinical studies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2006.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4(1). P. 28–33. doi:10.1007/s11914-006-0012-7.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Бадокин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Европейские рекомендации (ESCEO) 2014 г. по лечению больных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остеоартрозом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2014. № 30. С. 2149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Л.И. Фармакологическая профилактика первичного остеопороза // РМЖ. 2008. № 6. С. 409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Ж.Е., Рожинская Л.Я.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терапии постменопаузального остеопороза // Доктор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2010.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58(7).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. 29–38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Bolognese 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Lewiecki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et al. Effect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bone density and turnover in postmenopausal women with low bone mass after long-term continued, discontinued, and restarting of therapy: A randomized blinded phase 2 clinical trial // Bone. 2008.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43(2). P. 222–229. doi:10.1016/j.bone.2008.04.007.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Белая Ж.Е., Рожинская Л.Я. Новые направления в терапии остеопороза – применение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антител к RANKL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) // Остеопороз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остеопатии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2011. № 2. С. 19–14.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Cummings S., Martin J., McClung M. et al.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for Prevention of Fractures in Postmenopausal Women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With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Osteoporosis // N Engl J Med. 2009. Vol. 361(8). P. 756–765.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10.1056/NEJMoa0809493.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Epub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2009 Aug 11.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Qaseem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Forciea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M.A., McLean R.M. et al. Treatment of Low Bone Density or Osteoporosis to Prevent Fractures in Men and Women: A Clinical Practice Guideline Update From the American College of Physicians // Ann Intern Med (Annals.org). May 8, 2017.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Marie P. Signaling Pathways Affecting Skeletal Health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2012.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10(3). P. 190–198. doi:10.1007/s11914-012-0109-0.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Дедов И.И., Мельниченко Г.А. Остеопороз. Клинические рекомендации. М., 2016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Ettinger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Ensrud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Wallace R. et al. Effects of Ultralow-Dose Transdermal Estradiol on Bone Mineral Density: A Randomized Clinical Trial // Obstetrics and Gynecology. 2004. Vol. 104(3). P. 443–451. doi:10.1097/01.aog.0000137833.43248.79.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T.J., Hall J.E., Pinkerton J.V. et al. Revised global Consensus Statement on Menopausal Hormone Therapy // J. Climacteric. 2016. Vol. 19(4). P. 313–315.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J.A., Norton L.,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Lippman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M.E. et al. Continued breast cancer risk reduction in postmenopausal women treated with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4-year results from the MORE trial. Multiple outcomes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evaluation // Breast Cancer Res Treat. 2001. Vol. 65(2). P. 125–134.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Martino S.,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J.A., Barrett-Connor E. et al. CORE Investigators. Continuing outcomes relevant to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Evista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breast cancer incidence in postmenopausal osteoporotic women in a randomized trial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// J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Natl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Cancer Inst. 2004. Vol. 96(23). P. 1751–1761.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Palacios S., Silverman S., de Villiers T. et al. A 7-year randomized, placebo-controlled trial assessing the long-term efficacy and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 // Menopause. 2015. Vol. 22(8). P. 806–813. doi:10.1097/gme.0000000000000419.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Christiansen C.,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Chesnut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III C., Adachi J. et al.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a randomized, double-blind, placebo- and active-controlled phase 3 study of postmenopausal women with osteoporosis // BMC Musculoskeletal Disorders. 2010. Vol. 11(1). P. 130. doi:10.1186/1471-2474-11-130.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T., Chines A., Palacios S. et al. Safety and tolerability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osteoporosis: results of a 5-year, randomized, placebo-controlled phase 3 trial // Osteoporosis International. 2010. Vol. 22(2). P. 567–576. doi:10.1007/s00198-010-1302-6.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Chines A., Christiansen C. et al. Effects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BMD and Bone Turnover in Postmenopausal Women: 2-Yr Results of a Randomized,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Double-Blind, Placebo-, and Active-Controlled Study // J Bone Miner Res. 2007. Vol. 23(4). P. 525–535. </w:t>
      </w:r>
      <w:r w:rsidR="00B86846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oi:10.1359/jbmr.071206.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4A09E4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Institute of Medicine, Food and Nutrition Board. Dietary Reference Intakes for Calcium and Vitamin D // Washington, DC: National Academy Press, 2010.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Tang B.M.,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Eslick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Nowson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 et al. Use of calcium or calcium in combination with vitamin D supplementation to prevent fractures and bone loss in people aged 50 years and older; a meta-analysis // Lancet. 2007. Vol. 370. P. 657–666.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Boonen S., Bischoff-Ferrari H., Cooper C. et al. Addressing the Musculoskeletal Components of Fracture Risk with Calcium and Vitamin D: A Review of the Evidence // Calcified Tissue International. 2006. Vol. 78(5). P. 257–270. doi:10.1007/s00223-005-0009-8.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Body J., Bergmann P., Boonen S. et al. Evidence-based guidelines for the pharmacological treatment of postmenopausal osteoporosis: a consensus document by the Belgian Bone Club // Osteoporosis International. 2010.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21(10). P. 1657–1680. doi:10.1007/s00198-010-1223-4.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Пигарова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Рожинская Л.Я., Белая Ж.Е.,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Дзеранова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Л.К.,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Каронова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Т.Л., Ильин А.В., Мельниченко Г.А., Дедов И.И. Клинические рекомендации Российской ассоциации эндокринологов по диагностике, лечению и профилактике дефицита витамина Д у взрослых // Проблемы эндокринологии. 2016. Т. 62. № 4. С. 60–84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Bischoff-Ferrari H.A., Dawson-Hughes B., Willett W.C. et al. Effect of Vitamin D on falls: a meta-analysis // JAMA. 2004. Vol. 291. P. 1999–2006.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M.F., Binkley N.C., Bischoff-Ferrari H.A. et al. Evaluation, treatment, and prevention of vitamin D deficiency: an Endocrine Society clinical practice guideline // J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Clin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Endocrinol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Metab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2011. Vol. 96(7). P. 1911-30.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: 10.1210/jc.2011-0385.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Wahl D., Bonjour J. et al. Global vitamin D status and determinants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hypovitaminosis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 // Osteoporosis International. 2009. Vol. 20(11). P. 1821–1821. doi:10.1007/s00198-009-1030-y.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Broe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Chen T., Weinberg J. et al. A Higher Dose of Vitamin D Reduces the Risk of Falls in Nursing Home Residents: A Randomized, Multiple-Dose Study // Journal of the American Geriatrics Society.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2007.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55(2). P. 234–239. doi:10.1111/j.1532-5415.2007.01048.x.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Dawson-Hughes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Bonjour J. et al. IOF position statement: vitamin D recommendations for older adults // Osteoporosis International. 2010. Vol. 21(7). P. 1151–1154. doi:10.1007/s00198-010-1285-3.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Heller H.J. et al. Pharmacokinetic and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pharmacodynamic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comparison of two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calciumsupplements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// Journal of Clinical Pharmacology.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2000. </w:t>
      </w:r>
      <w:proofErr w:type="spellStart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. 40. P. 1237–1244.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О.А. Фармакологическая профилактика первичного остеопороза // РМЖ. 2008. Т. 16. № 6. С. 409–413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Наумов А.В.,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Шамуилова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М.М., Заиченко Д.М. Остеопороз: апокалипсис сегодня, или трудовые будни врача // Вестник семейной медицины. 2012. № 3. С. 44–53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Мазуров В.И., Сергеева А.А., Трофимов Е.А. Роль препаратов кальция в комплексном лечении постменопаузального остеопороза // Медицинский совет. 2016. № 05. С. 50–55.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Cummings S.R.,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Ettinger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Delmas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P.D. The effects of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tibolone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 older postmenopausal women // N Engl J Med. 2008. Vol. 359(7). P. 697–708.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Гурко Г.И., Щербакова С. А. Сексуальная функция у пожилых людей и качество их жизни // Геронтология. – 2013. – № 3; с. 49-54.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Robinson D,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Toozs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-Hobson P. Cardozo L. The effect of hormones on the lower urinary tract. Menopause Int 2013; 19: 156-62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Grady D, Brown JS,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Vittinghoff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E, Applegate W/ et al. Postmenopausal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hormons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incontinence: the Heart and Estrogen/progestin Replacement Study.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Obstet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Gynecol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2001;97;116-20.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Moore K.,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Dumoulin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C., Bradley C. et al. Adult conservative management. In Abrams P, Cardozo L,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Khoury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A, eds. Incontinence // Paris: Health Publications Ltd. 2013. P. 1101–1228.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Nijand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EA,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Weijmar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Schultz,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Nathorst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-Boos J et al.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Tibolone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transdermal E2/NETA for treatment of female sexual dysfunction in naturally menopausal woman: results of a randomized active-controlled trial. J Sex Med 2008; 5:646-56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before="100" w:beforeAutospacing="1" w:after="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Nappi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RE, Davis SR, The use of hormone therapy for the maintenance of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urogynecological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sexual health post WHI. Climacteric 2012; 15:267-74.  </w:t>
      </w:r>
    </w:p>
    <w:p w:rsidR="004A09E4" w:rsidRPr="00B35E2B" w:rsidRDefault="004A09E4" w:rsidP="007B7C11">
      <w:pPr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4A09E4" w:rsidRPr="00B35E2B" w:rsidRDefault="004A09E4" w:rsidP="002F7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sectPr w:rsidR="004A09E4" w:rsidRPr="00B35E2B" w:rsidSect="00C0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F6" w:rsidRDefault="008D53F6" w:rsidP="00C047E3">
      <w:pPr>
        <w:spacing w:after="0" w:line="240" w:lineRule="auto"/>
      </w:pPr>
      <w:r>
        <w:separator/>
      </w:r>
    </w:p>
  </w:endnote>
  <w:endnote w:type="continuationSeparator" w:id="0">
    <w:p w:rsidR="008D53F6" w:rsidRDefault="008D53F6" w:rsidP="00C0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4968"/>
      <w:docPartObj>
        <w:docPartGallery w:val="Page Numbers (Bottom of Page)"/>
        <w:docPartUnique/>
      </w:docPartObj>
    </w:sdtPr>
    <w:sdtEndPr/>
    <w:sdtContent>
      <w:p w:rsidR="00333D7A" w:rsidRDefault="00333D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86">
          <w:rPr>
            <w:noProof/>
          </w:rPr>
          <w:t>21</w:t>
        </w:r>
        <w:r>
          <w:fldChar w:fldCharType="end"/>
        </w:r>
      </w:p>
    </w:sdtContent>
  </w:sdt>
  <w:p w:rsidR="00333D7A" w:rsidRPr="002F7DE0" w:rsidRDefault="00333D7A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7A" w:rsidRDefault="00333D7A">
    <w:pPr>
      <w:pStyle w:val="ab"/>
      <w:jc w:val="center"/>
    </w:pPr>
  </w:p>
  <w:p w:rsidR="00333D7A" w:rsidRDefault="00333D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F6" w:rsidRDefault="008D53F6" w:rsidP="00C047E3">
      <w:pPr>
        <w:spacing w:after="0" w:line="240" w:lineRule="auto"/>
      </w:pPr>
      <w:r>
        <w:separator/>
      </w:r>
    </w:p>
  </w:footnote>
  <w:footnote w:type="continuationSeparator" w:id="0">
    <w:p w:rsidR="008D53F6" w:rsidRDefault="008D53F6" w:rsidP="00C0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7A" w:rsidRDefault="00333D7A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765"/>
    <w:multiLevelType w:val="hybridMultilevel"/>
    <w:tmpl w:val="CF82524E"/>
    <w:lvl w:ilvl="0" w:tplc="C2DC002C">
      <w:start w:val="1"/>
      <w:numFmt w:val="bullet"/>
      <w:lvlText w:val="•"/>
      <w:lvlJc w:val="left"/>
      <w:pPr>
        <w:ind w:left="362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0EB7342D"/>
    <w:multiLevelType w:val="hybridMultilevel"/>
    <w:tmpl w:val="E618D7E2"/>
    <w:lvl w:ilvl="0" w:tplc="ADC29F3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EC0C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438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681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AE0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07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EEAB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3C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C85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610CC4"/>
    <w:multiLevelType w:val="hybridMultilevel"/>
    <w:tmpl w:val="F44E0958"/>
    <w:lvl w:ilvl="0" w:tplc="50A8BAE2">
      <w:start w:val="5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6A4D"/>
    <w:multiLevelType w:val="hybridMultilevel"/>
    <w:tmpl w:val="91F6EF6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9410B4A"/>
    <w:multiLevelType w:val="hybridMultilevel"/>
    <w:tmpl w:val="89A026B4"/>
    <w:lvl w:ilvl="0" w:tplc="434652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EF8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6FE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8AF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45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E0E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29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6F8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53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83A9C"/>
    <w:multiLevelType w:val="hybridMultilevel"/>
    <w:tmpl w:val="2E3C0680"/>
    <w:lvl w:ilvl="0" w:tplc="D61EBDC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00560"/>
    <w:multiLevelType w:val="hybridMultilevel"/>
    <w:tmpl w:val="BDBA132E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79078D"/>
    <w:multiLevelType w:val="hybridMultilevel"/>
    <w:tmpl w:val="A8D2FFC8"/>
    <w:lvl w:ilvl="0" w:tplc="DC1E05F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31264"/>
    <w:multiLevelType w:val="hybridMultilevel"/>
    <w:tmpl w:val="6DDE6AF2"/>
    <w:lvl w:ilvl="0" w:tplc="21287A0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E16F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A0B9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C3C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E79E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00FA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4B5F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A8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BE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FA5BD9"/>
    <w:multiLevelType w:val="hybridMultilevel"/>
    <w:tmpl w:val="CC9289D6"/>
    <w:lvl w:ilvl="0" w:tplc="C2DC002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F143F63"/>
    <w:multiLevelType w:val="hybridMultilevel"/>
    <w:tmpl w:val="12C6A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66247"/>
    <w:multiLevelType w:val="hybridMultilevel"/>
    <w:tmpl w:val="F91C4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1039C8"/>
    <w:multiLevelType w:val="hybridMultilevel"/>
    <w:tmpl w:val="F7E6B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15DD3"/>
    <w:multiLevelType w:val="hybridMultilevel"/>
    <w:tmpl w:val="C60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4A6C"/>
    <w:multiLevelType w:val="hybridMultilevel"/>
    <w:tmpl w:val="8D7A203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86282D"/>
    <w:multiLevelType w:val="hybridMultilevel"/>
    <w:tmpl w:val="E2E06D42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DFE4B4A"/>
    <w:multiLevelType w:val="hybridMultilevel"/>
    <w:tmpl w:val="1AE2C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C934C6"/>
    <w:multiLevelType w:val="multilevel"/>
    <w:tmpl w:val="AA6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7681C"/>
    <w:multiLevelType w:val="hybridMultilevel"/>
    <w:tmpl w:val="98022B36"/>
    <w:lvl w:ilvl="0" w:tplc="C8E81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2F2D"/>
    <w:multiLevelType w:val="hybridMultilevel"/>
    <w:tmpl w:val="06B813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2E90178"/>
    <w:multiLevelType w:val="hybridMultilevel"/>
    <w:tmpl w:val="06C03EC6"/>
    <w:lvl w:ilvl="0" w:tplc="C2DC00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03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E8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6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06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2B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3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E9D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CE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563B8"/>
    <w:multiLevelType w:val="hybridMultilevel"/>
    <w:tmpl w:val="6DCE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555A"/>
    <w:multiLevelType w:val="hybridMultilevel"/>
    <w:tmpl w:val="59BC1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7612A"/>
    <w:multiLevelType w:val="hybridMultilevel"/>
    <w:tmpl w:val="24E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1ED"/>
    <w:multiLevelType w:val="hybridMultilevel"/>
    <w:tmpl w:val="C5D643BC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7FA5"/>
    <w:multiLevelType w:val="hybridMultilevel"/>
    <w:tmpl w:val="93189E28"/>
    <w:lvl w:ilvl="0" w:tplc="E488BAC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0EFF"/>
    <w:multiLevelType w:val="hybridMultilevel"/>
    <w:tmpl w:val="0E7AC00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95271C"/>
    <w:multiLevelType w:val="hybridMultilevel"/>
    <w:tmpl w:val="860C1E6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6A1B5DCC"/>
    <w:multiLevelType w:val="hybridMultilevel"/>
    <w:tmpl w:val="3210EAC4"/>
    <w:lvl w:ilvl="0" w:tplc="E9AAAA68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8AF82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C756A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C7EC2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66AA4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999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8655C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02842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CECAE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083813"/>
    <w:multiLevelType w:val="hybridMultilevel"/>
    <w:tmpl w:val="FE52390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73B8265B"/>
    <w:multiLevelType w:val="hybridMultilevel"/>
    <w:tmpl w:val="1A768AA0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833D6E"/>
    <w:multiLevelType w:val="hybridMultilevel"/>
    <w:tmpl w:val="17849DEE"/>
    <w:lvl w:ilvl="0" w:tplc="50A8BAE2">
      <w:start w:val="5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396E56"/>
    <w:multiLevelType w:val="hybridMultilevel"/>
    <w:tmpl w:val="1FA69F82"/>
    <w:lvl w:ilvl="0" w:tplc="B1D26E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A7E00"/>
    <w:multiLevelType w:val="hybridMultilevel"/>
    <w:tmpl w:val="A83CA922"/>
    <w:lvl w:ilvl="0" w:tplc="50A8BAE2">
      <w:start w:val="5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"/>
  </w:num>
  <w:num w:numId="5">
    <w:abstractNumId w:val="28"/>
  </w:num>
  <w:num w:numId="6">
    <w:abstractNumId w:val="8"/>
  </w:num>
  <w:num w:numId="7">
    <w:abstractNumId w:val="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13"/>
  </w:num>
  <w:num w:numId="15">
    <w:abstractNumId w:val="23"/>
  </w:num>
  <w:num w:numId="16">
    <w:abstractNumId w:val="22"/>
  </w:num>
  <w:num w:numId="17">
    <w:abstractNumId w:val="25"/>
  </w:num>
  <w:num w:numId="18">
    <w:abstractNumId w:val="31"/>
  </w:num>
  <w:num w:numId="19">
    <w:abstractNumId w:val="33"/>
  </w:num>
  <w:num w:numId="20">
    <w:abstractNumId w:val="2"/>
  </w:num>
  <w:num w:numId="21">
    <w:abstractNumId w:val="16"/>
  </w:num>
  <w:num w:numId="22">
    <w:abstractNumId w:val="10"/>
  </w:num>
  <w:num w:numId="23">
    <w:abstractNumId w:val="12"/>
  </w:num>
  <w:num w:numId="24">
    <w:abstractNumId w:val="32"/>
  </w:num>
  <w:num w:numId="25">
    <w:abstractNumId w:val="18"/>
  </w:num>
  <w:num w:numId="26">
    <w:abstractNumId w:val="11"/>
  </w:num>
  <w:num w:numId="27">
    <w:abstractNumId w:val="0"/>
  </w:num>
  <w:num w:numId="28">
    <w:abstractNumId w:val="30"/>
  </w:num>
  <w:num w:numId="29">
    <w:abstractNumId w:val="6"/>
  </w:num>
  <w:num w:numId="30">
    <w:abstractNumId w:val="26"/>
  </w:num>
  <w:num w:numId="31">
    <w:abstractNumId w:val="14"/>
  </w:num>
  <w:num w:numId="32">
    <w:abstractNumId w:val="9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F"/>
    <w:rsid w:val="000203D0"/>
    <w:rsid w:val="000A417A"/>
    <w:rsid w:val="000B46C8"/>
    <w:rsid w:val="000E3D86"/>
    <w:rsid w:val="000F3231"/>
    <w:rsid w:val="00122D23"/>
    <w:rsid w:val="00197166"/>
    <w:rsid w:val="001A6D86"/>
    <w:rsid w:val="001A717A"/>
    <w:rsid w:val="001A7C50"/>
    <w:rsid w:val="001C0176"/>
    <w:rsid w:val="00217BF4"/>
    <w:rsid w:val="002B66E9"/>
    <w:rsid w:val="002F663C"/>
    <w:rsid w:val="002F7DE0"/>
    <w:rsid w:val="0031344E"/>
    <w:rsid w:val="00333D7A"/>
    <w:rsid w:val="00363D6C"/>
    <w:rsid w:val="00366126"/>
    <w:rsid w:val="003B5349"/>
    <w:rsid w:val="003E7891"/>
    <w:rsid w:val="00433290"/>
    <w:rsid w:val="00466C1F"/>
    <w:rsid w:val="00485877"/>
    <w:rsid w:val="004A09E4"/>
    <w:rsid w:val="004E4F82"/>
    <w:rsid w:val="004F41F0"/>
    <w:rsid w:val="00544F0B"/>
    <w:rsid w:val="00554621"/>
    <w:rsid w:val="00596FA6"/>
    <w:rsid w:val="005C7208"/>
    <w:rsid w:val="005F0568"/>
    <w:rsid w:val="006E6777"/>
    <w:rsid w:val="00706088"/>
    <w:rsid w:val="00720A80"/>
    <w:rsid w:val="0075693B"/>
    <w:rsid w:val="00773FBC"/>
    <w:rsid w:val="00792F6B"/>
    <w:rsid w:val="007B7C11"/>
    <w:rsid w:val="007C1B8B"/>
    <w:rsid w:val="007C4BEC"/>
    <w:rsid w:val="007D3F97"/>
    <w:rsid w:val="00817057"/>
    <w:rsid w:val="00833687"/>
    <w:rsid w:val="008D53F6"/>
    <w:rsid w:val="008D6824"/>
    <w:rsid w:val="008E6148"/>
    <w:rsid w:val="00912E48"/>
    <w:rsid w:val="0092202C"/>
    <w:rsid w:val="009724D7"/>
    <w:rsid w:val="009F7D62"/>
    <w:rsid w:val="00A06E3D"/>
    <w:rsid w:val="00A11640"/>
    <w:rsid w:val="00A610D4"/>
    <w:rsid w:val="00AA146B"/>
    <w:rsid w:val="00B004F7"/>
    <w:rsid w:val="00B065A1"/>
    <w:rsid w:val="00B35E2B"/>
    <w:rsid w:val="00B42C2D"/>
    <w:rsid w:val="00B86846"/>
    <w:rsid w:val="00BD2B2D"/>
    <w:rsid w:val="00C047E3"/>
    <w:rsid w:val="00C271E6"/>
    <w:rsid w:val="00C541F2"/>
    <w:rsid w:val="00CE4644"/>
    <w:rsid w:val="00D675AE"/>
    <w:rsid w:val="00DE1346"/>
    <w:rsid w:val="00DF41E3"/>
    <w:rsid w:val="00E03662"/>
    <w:rsid w:val="00E04338"/>
    <w:rsid w:val="00E16F11"/>
    <w:rsid w:val="00E257D1"/>
    <w:rsid w:val="00E32AC5"/>
    <w:rsid w:val="00E37BDE"/>
    <w:rsid w:val="00E42A25"/>
    <w:rsid w:val="00E837FC"/>
    <w:rsid w:val="00EA363A"/>
    <w:rsid w:val="00EB1AB2"/>
    <w:rsid w:val="00EF5CBD"/>
    <w:rsid w:val="00F1018F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864580-1C7E-4A42-A703-2977092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E6"/>
    <w:pPr>
      <w:spacing w:after="200" w:line="276" w:lineRule="auto"/>
    </w:pPr>
    <w:rPr>
      <w:sz w:val="22"/>
      <w:szCs w:val="22"/>
      <w:lang w:eastAsia="ve-ZA"/>
    </w:rPr>
  </w:style>
  <w:style w:type="paragraph" w:styleId="1">
    <w:name w:val="heading 1"/>
    <w:basedOn w:val="a"/>
    <w:next w:val="a"/>
    <w:link w:val="10"/>
    <w:qFormat/>
    <w:rsid w:val="00C271E6"/>
    <w:pPr>
      <w:keepNext/>
      <w:autoSpaceDE w:val="0"/>
      <w:autoSpaceDN w:val="0"/>
      <w:spacing w:before="200" w:after="0" w:line="220" w:lineRule="atLeast"/>
      <w:jc w:val="right"/>
      <w:outlineLvl w:val="0"/>
    </w:pPr>
    <w:rPr>
      <w:rFonts w:ascii="Arial" w:eastAsia="Times New Roman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1E6"/>
    <w:pPr>
      <w:keepNext/>
      <w:autoSpaceDE w:val="0"/>
      <w:autoSpaceDN w:val="0"/>
      <w:spacing w:before="200" w:after="0" w:line="220" w:lineRule="atLeast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1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71E6"/>
    <w:rPr>
      <w:rFonts w:ascii="Arial" w:eastAsia="Times New Roman" w:hAnsi="Arial" w:cs="Arial"/>
      <w:i/>
      <w:iCs/>
      <w:lang w:eastAsia="ve-ZA"/>
    </w:rPr>
  </w:style>
  <w:style w:type="character" w:customStyle="1" w:styleId="20">
    <w:name w:val="Заголовок 2 Знак"/>
    <w:link w:val="2"/>
    <w:semiHidden/>
    <w:rsid w:val="00C271E6"/>
    <w:rPr>
      <w:rFonts w:ascii="Times New Roman" w:eastAsia="Times New Roman" w:hAnsi="Times New Roman"/>
      <w:sz w:val="24"/>
      <w:szCs w:val="24"/>
      <w:lang w:eastAsia="ve-ZA"/>
    </w:rPr>
  </w:style>
  <w:style w:type="character" w:customStyle="1" w:styleId="30">
    <w:name w:val="Заголовок 3 Знак"/>
    <w:link w:val="3"/>
    <w:uiPriority w:val="9"/>
    <w:semiHidden/>
    <w:rsid w:val="00C271E6"/>
    <w:rPr>
      <w:rFonts w:ascii="Cambria" w:eastAsia="Times New Roman" w:hAnsi="Cambria"/>
      <w:b/>
      <w:bCs/>
      <w:color w:val="4F81BD"/>
    </w:rPr>
  </w:style>
  <w:style w:type="character" w:styleId="a3">
    <w:name w:val="Strong"/>
    <w:uiPriority w:val="22"/>
    <w:qFormat/>
    <w:rsid w:val="00C271E6"/>
    <w:rPr>
      <w:b/>
      <w:bCs/>
    </w:rPr>
  </w:style>
  <w:style w:type="paragraph" w:styleId="a4">
    <w:name w:val="No Spacing"/>
    <w:uiPriority w:val="1"/>
    <w:qFormat/>
    <w:rsid w:val="00C271E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1F"/>
    <w:rPr>
      <w:sz w:val="22"/>
      <w:szCs w:val="22"/>
      <w:lang w:eastAsia="ve-ZA"/>
    </w:rPr>
  </w:style>
  <w:style w:type="paragraph" w:styleId="a8">
    <w:name w:val="Normal (Web)"/>
    <w:basedOn w:val="a"/>
    <w:uiPriority w:val="99"/>
    <w:unhideWhenUsed/>
    <w:rsid w:val="007C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AA146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A09E4"/>
    <w:rPr>
      <w:color w:val="0000FF"/>
      <w:u w:val="single"/>
    </w:rPr>
  </w:style>
  <w:style w:type="character" w:customStyle="1" w:styleId="articlepages">
    <w:name w:val="article_pages"/>
    <w:basedOn w:val="a0"/>
    <w:rsid w:val="004A09E4"/>
  </w:style>
  <w:style w:type="paragraph" w:customStyle="1" w:styleId="11">
    <w:name w:val="Абзац списка1"/>
    <w:basedOn w:val="a"/>
    <w:rsid w:val="00B35E2B"/>
    <w:pPr>
      <w:suppressAutoHyphens/>
      <w:spacing w:after="160" w:line="252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E0"/>
    <w:rPr>
      <w:sz w:val="22"/>
      <w:szCs w:val="22"/>
      <w:lang w:eastAsia="ve-ZA"/>
    </w:rPr>
  </w:style>
  <w:style w:type="paragraph" w:styleId="ad">
    <w:name w:val="Balloon Text"/>
    <w:basedOn w:val="a"/>
    <w:link w:val="ae"/>
    <w:uiPriority w:val="99"/>
    <w:semiHidden/>
    <w:unhideWhenUsed/>
    <w:rsid w:val="004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1F0"/>
    <w:rPr>
      <w:rFonts w:ascii="Tahoma" w:hAnsi="Tahoma" w:cs="Tahoma"/>
      <w:sz w:val="16"/>
      <w:szCs w:val="16"/>
      <w:lang w:eastAsia="ve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mj.ru/archive/akusherstvo-ginekologiya-15-2017/" TargetMode="External"/><Relationship Id="rId18" Type="http://schemas.openxmlformats.org/officeDocument/2006/relationships/hyperlink" Target="https://www.rmj.ru/archive/akusherstvo-ginekologiya-15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mj.ru/authors/unanyan_a_l/" TargetMode="External"/><Relationship Id="rId17" Type="http://schemas.openxmlformats.org/officeDocument/2006/relationships/hyperlink" Target="https://istina.msu.ru/journals/954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570647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workers/60153323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tina.msu.ru/workers/1109654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A232-030B-43C3-94E0-AD62B7F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12162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М. Магомадова</cp:lastModifiedBy>
  <cp:revision>4</cp:revision>
  <cp:lastPrinted>2018-08-02T08:36:00Z</cp:lastPrinted>
  <dcterms:created xsi:type="dcterms:W3CDTF">2019-01-22T05:54:00Z</dcterms:created>
  <dcterms:modified xsi:type="dcterms:W3CDTF">2020-09-29T08:49:00Z</dcterms:modified>
</cp:coreProperties>
</file>